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1BEE" w14:textId="77777777" w:rsidR="00683B93" w:rsidRDefault="00683B93" w:rsidP="00683B93">
      <w:pPr>
        <w:spacing w:line="240" w:lineRule="auto"/>
        <w:jc w:val="center"/>
        <w:rPr>
          <w:b/>
          <w:bCs/>
          <w:sz w:val="22"/>
          <w:szCs w:val="22"/>
        </w:rPr>
      </w:pPr>
      <w:r>
        <w:rPr>
          <w:b/>
          <w:bCs/>
          <w:noProof/>
          <w:sz w:val="22"/>
          <w:szCs w:val="22"/>
        </w:rPr>
        <w:drawing>
          <wp:inline distT="0" distB="0" distL="0" distR="0" wp14:anchorId="3237279F" wp14:editId="72780645">
            <wp:extent cx="1409700" cy="1409700"/>
            <wp:effectExtent l="0" t="0" r="0" b="0"/>
            <wp:docPr id="77611710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17105" name="Picture 1" descr="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r w:rsidRPr="00F81FD7">
        <w:rPr>
          <w:sz w:val="22"/>
          <w:szCs w:val="22"/>
        </w:rPr>
        <w:t xml:space="preserve"> </w:t>
      </w:r>
      <w:r w:rsidR="00F51A84" w:rsidRPr="00F81FD7">
        <w:rPr>
          <w:sz w:val="22"/>
          <w:szCs w:val="22"/>
        </w:rPr>
        <w:br/>
      </w:r>
      <w:r w:rsidR="00F51A84" w:rsidRPr="00F81FD7">
        <w:rPr>
          <w:b/>
          <w:bCs/>
          <w:sz w:val="22"/>
          <w:szCs w:val="22"/>
        </w:rPr>
        <w:t>Request for Information (RFI)</w:t>
      </w:r>
    </w:p>
    <w:p w14:paraId="6A4C9294" w14:textId="31B3C018" w:rsidR="00F51A84" w:rsidRPr="00F81FD7" w:rsidRDefault="00F51A84" w:rsidP="00683B93">
      <w:pPr>
        <w:spacing w:line="240" w:lineRule="auto"/>
        <w:jc w:val="center"/>
        <w:rPr>
          <w:sz w:val="22"/>
          <w:szCs w:val="22"/>
        </w:rPr>
      </w:pPr>
      <w:r w:rsidRPr="00F81FD7">
        <w:rPr>
          <w:sz w:val="22"/>
          <w:szCs w:val="22"/>
        </w:rPr>
        <w:br/>
      </w:r>
      <w:r w:rsidRPr="00F81FD7">
        <w:rPr>
          <w:b/>
          <w:bCs/>
          <w:sz w:val="22"/>
          <w:szCs w:val="22"/>
        </w:rPr>
        <w:t>Neuromuscular Junction (NMJ) Micro-Physiological Systems for Botulinum Neurotoxin (</w:t>
      </w:r>
      <w:proofErr w:type="spellStart"/>
      <w:r w:rsidRPr="00F81FD7">
        <w:rPr>
          <w:b/>
          <w:bCs/>
          <w:sz w:val="22"/>
          <w:szCs w:val="22"/>
        </w:rPr>
        <w:t>BoNT</w:t>
      </w:r>
      <w:proofErr w:type="spellEnd"/>
      <w:r w:rsidRPr="00F81FD7">
        <w:rPr>
          <w:b/>
          <w:bCs/>
          <w:sz w:val="22"/>
          <w:szCs w:val="22"/>
        </w:rPr>
        <w:t>) Potency Measurement</w:t>
      </w:r>
      <w:r w:rsidR="0052002C" w:rsidRPr="00F81FD7">
        <w:rPr>
          <w:b/>
          <w:bCs/>
          <w:sz w:val="22"/>
          <w:szCs w:val="22"/>
        </w:rPr>
        <w:t xml:space="preserve"> and Medical Countermeasures Evaluation</w:t>
      </w:r>
    </w:p>
    <w:p w14:paraId="1AD8160C" w14:textId="08D377E0" w:rsidR="00F51A84" w:rsidRPr="00F81FD7" w:rsidRDefault="00F51A84" w:rsidP="00105B07">
      <w:pPr>
        <w:spacing w:line="240" w:lineRule="auto"/>
        <w:rPr>
          <w:b/>
          <w:bCs/>
          <w:sz w:val="22"/>
          <w:szCs w:val="22"/>
        </w:rPr>
      </w:pPr>
      <w:r w:rsidRPr="00F81FD7">
        <w:rPr>
          <w:b/>
          <w:bCs/>
          <w:sz w:val="22"/>
          <w:szCs w:val="22"/>
        </w:rPr>
        <w:t xml:space="preserve">1. </w:t>
      </w:r>
      <w:r w:rsidR="00E973D6" w:rsidRPr="00F81FD7">
        <w:rPr>
          <w:b/>
          <w:bCs/>
          <w:sz w:val="22"/>
          <w:szCs w:val="22"/>
        </w:rPr>
        <w:t>Purpose</w:t>
      </w:r>
    </w:p>
    <w:p w14:paraId="6ED295E2" w14:textId="1EB330AD" w:rsidR="00F51A84" w:rsidRPr="00F81FD7" w:rsidRDefault="13FE25BA" w:rsidP="00683B93">
      <w:pPr>
        <w:spacing w:line="240" w:lineRule="auto"/>
        <w:jc w:val="both"/>
        <w:rPr>
          <w:sz w:val="22"/>
          <w:szCs w:val="22"/>
        </w:rPr>
      </w:pPr>
      <w:r w:rsidRPr="749B7CF0">
        <w:rPr>
          <w:sz w:val="22"/>
          <w:szCs w:val="22"/>
        </w:rPr>
        <w:t>The Rapid Response Partnership Vehicle (RRPV), on behalf of the Biomedical Advanced Research and Development Authority (BARDA), is issuing this Request for Information (RFI) to assess the current landscape of human-relevant neuromuscular junction (NMJ) micro-physiological systems (MPS) and their potential application for botulinum neurotoxin (</w:t>
      </w:r>
      <w:proofErr w:type="spellStart"/>
      <w:r w:rsidRPr="749B7CF0">
        <w:rPr>
          <w:sz w:val="22"/>
          <w:szCs w:val="22"/>
        </w:rPr>
        <w:t>BoNT</w:t>
      </w:r>
      <w:proofErr w:type="spellEnd"/>
      <w:r w:rsidRPr="749B7CF0">
        <w:rPr>
          <w:sz w:val="22"/>
          <w:szCs w:val="22"/>
        </w:rPr>
        <w:t>) detection, potency measurement, and evaluation of medical countermeasure (MCM) neutraliz</w:t>
      </w:r>
      <w:r w:rsidR="7D76C7B2" w:rsidRPr="749B7CF0">
        <w:rPr>
          <w:sz w:val="22"/>
          <w:szCs w:val="22"/>
        </w:rPr>
        <w:t>ing</w:t>
      </w:r>
      <w:r w:rsidRPr="749B7CF0">
        <w:rPr>
          <w:sz w:val="22"/>
          <w:szCs w:val="22"/>
        </w:rPr>
        <w:t xml:space="preserve"> activity.</w:t>
      </w:r>
    </w:p>
    <w:p w14:paraId="1FCD02E7" w14:textId="2A1C2C19" w:rsidR="00F51A84" w:rsidRPr="00F81FD7" w:rsidRDefault="00F51A84" w:rsidP="00683B93">
      <w:pPr>
        <w:spacing w:line="240" w:lineRule="auto"/>
        <w:jc w:val="both"/>
        <w:rPr>
          <w:sz w:val="22"/>
          <w:szCs w:val="22"/>
        </w:rPr>
      </w:pPr>
      <w:r w:rsidRPr="749B7CF0">
        <w:rPr>
          <w:sz w:val="22"/>
          <w:szCs w:val="22"/>
        </w:rPr>
        <w:t xml:space="preserve">Advanced Technology International (ATI), the consortium management firm for RRPV, is conducting market research to identify organizations developing or operating NMJ platforms </w:t>
      </w:r>
      <w:r w:rsidR="2AF21355" w:rsidRPr="749B7CF0">
        <w:rPr>
          <w:sz w:val="22"/>
          <w:szCs w:val="22"/>
        </w:rPr>
        <w:t xml:space="preserve">for these applications </w:t>
      </w:r>
      <w:r w:rsidRPr="749B7CF0">
        <w:rPr>
          <w:sz w:val="22"/>
          <w:szCs w:val="22"/>
        </w:rPr>
        <w:t xml:space="preserve">that could be adapted for </w:t>
      </w:r>
      <w:r w:rsidR="60B13A6B" w:rsidRPr="749B7CF0">
        <w:rPr>
          <w:sz w:val="22"/>
          <w:szCs w:val="22"/>
        </w:rPr>
        <w:t xml:space="preserve">use with </w:t>
      </w:r>
      <w:proofErr w:type="spellStart"/>
      <w:r w:rsidRPr="749B7CF0">
        <w:rPr>
          <w:sz w:val="22"/>
          <w:szCs w:val="22"/>
        </w:rPr>
        <w:t>BoNT</w:t>
      </w:r>
      <w:proofErr w:type="spellEnd"/>
      <w:r w:rsidRPr="749B7CF0">
        <w:rPr>
          <w:sz w:val="22"/>
          <w:szCs w:val="22"/>
        </w:rPr>
        <w:t xml:space="preserve"> serotypes A</w:t>
      </w:r>
      <w:r w:rsidR="00CF67C1" w:rsidRPr="749B7CF0">
        <w:rPr>
          <w:sz w:val="22"/>
          <w:szCs w:val="22"/>
        </w:rPr>
        <w:t xml:space="preserve"> to </w:t>
      </w:r>
      <w:r w:rsidRPr="749B7CF0">
        <w:rPr>
          <w:sz w:val="22"/>
          <w:szCs w:val="22"/>
        </w:rPr>
        <w:t>G.</w:t>
      </w:r>
    </w:p>
    <w:p w14:paraId="16F51EE1" w14:textId="496A711C" w:rsidR="00F51A84" w:rsidRPr="00F81FD7" w:rsidRDefault="00F51A84" w:rsidP="00683B93">
      <w:pPr>
        <w:spacing w:line="240" w:lineRule="auto"/>
        <w:jc w:val="both"/>
        <w:rPr>
          <w:sz w:val="22"/>
          <w:szCs w:val="22"/>
        </w:rPr>
      </w:pPr>
      <w:r w:rsidRPr="00F81FD7">
        <w:rPr>
          <w:sz w:val="22"/>
          <w:szCs w:val="22"/>
        </w:rPr>
        <w:t>This RFI is issued for information and planning purposes only and does not constitute a solicitation or commitment to procure services or products.</w:t>
      </w:r>
    </w:p>
    <w:p w14:paraId="3E829BBF" w14:textId="77777777" w:rsidR="00F51A84" w:rsidRPr="00F81FD7" w:rsidRDefault="00F51A84" w:rsidP="00105B07">
      <w:pPr>
        <w:spacing w:line="240" w:lineRule="auto"/>
        <w:rPr>
          <w:b/>
          <w:bCs/>
          <w:sz w:val="22"/>
          <w:szCs w:val="22"/>
        </w:rPr>
      </w:pPr>
      <w:r w:rsidRPr="00F81FD7">
        <w:rPr>
          <w:b/>
          <w:bCs/>
          <w:sz w:val="22"/>
          <w:szCs w:val="22"/>
        </w:rPr>
        <w:t>2. Background</w:t>
      </w:r>
    </w:p>
    <w:p w14:paraId="339DD14B" w14:textId="15D47F0B" w:rsidR="00F51A84" w:rsidRPr="00F81FD7" w:rsidRDefault="00F51A84" w:rsidP="00683B93">
      <w:pPr>
        <w:spacing w:line="240" w:lineRule="auto"/>
        <w:jc w:val="both"/>
        <w:rPr>
          <w:sz w:val="22"/>
          <w:szCs w:val="22"/>
        </w:rPr>
      </w:pPr>
      <w:r w:rsidRPr="00F81FD7">
        <w:rPr>
          <w:sz w:val="22"/>
          <w:szCs w:val="22"/>
        </w:rPr>
        <w:t>Botulinum neurotoxins (</w:t>
      </w:r>
      <w:proofErr w:type="spellStart"/>
      <w:r w:rsidRPr="00F81FD7">
        <w:rPr>
          <w:sz w:val="22"/>
          <w:szCs w:val="22"/>
        </w:rPr>
        <w:t>BoNT</w:t>
      </w:r>
      <w:proofErr w:type="spellEnd"/>
      <w:r w:rsidRPr="00F81FD7">
        <w:rPr>
          <w:sz w:val="22"/>
          <w:szCs w:val="22"/>
        </w:rPr>
        <w:t xml:space="preserve">/A–G) inhibit acetylcholine release at the neuromuscular junction through cleavage of SNARE proteins (e.g., SNAP-25, VAMP, </w:t>
      </w:r>
      <w:proofErr w:type="spellStart"/>
      <w:r w:rsidRPr="00F81FD7">
        <w:rPr>
          <w:sz w:val="22"/>
          <w:szCs w:val="22"/>
        </w:rPr>
        <w:t>syntaxin</w:t>
      </w:r>
      <w:proofErr w:type="spellEnd"/>
      <w:r w:rsidRPr="00F81FD7">
        <w:rPr>
          <w:sz w:val="22"/>
          <w:szCs w:val="22"/>
        </w:rPr>
        <w:t xml:space="preserve">). Currently, </w:t>
      </w:r>
      <w:proofErr w:type="spellStart"/>
      <w:r w:rsidRPr="00F81FD7">
        <w:rPr>
          <w:sz w:val="22"/>
          <w:szCs w:val="22"/>
        </w:rPr>
        <w:t>BoNT</w:t>
      </w:r>
      <w:proofErr w:type="spellEnd"/>
      <w:r w:rsidRPr="00F81FD7">
        <w:rPr>
          <w:sz w:val="22"/>
          <w:szCs w:val="22"/>
        </w:rPr>
        <w:t xml:space="preserve"> characterization</w:t>
      </w:r>
      <w:r w:rsidR="008B1653" w:rsidRPr="00F81FD7">
        <w:rPr>
          <w:sz w:val="22"/>
          <w:szCs w:val="22"/>
        </w:rPr>
        <w:t xml:space="preserve">, </w:t>
      </w:r>
      <w:r w:rsidRPr="00F81FD7">
        <w:rPr>
          <w:sz w:val="22"/>
          <w:szCs w:val="22"/>
        </w:rPr>
        <w:t xml:space="preserve">including toxin potency and neutralization </w:t>
      </w:r>
      <w:r w:rsidR="00D850D7">
        <w:rPr>
          <w:sz w:val="22"/>
          <w:szCs w:val="22"/>
        </w:rPr>
        <w:t>by</w:t>
      </w:r>
      <w:r w:rsidRPr="00F81FD7">
        <w:rPr>
          <w:sz w:val="22"/>
          <w:szCs w:val="22"/>
        </w:rPr>
        <w:t xml:space="preserve"> medical countermeasures</w:t>
      </w:r>
      <w:r w:rsidR="008B1653" w:rsidRPr="00F81FD7">
        <w:rPr>
          <w:sz w:val="22"/>
          <w:szCs w:val="22"/>
        </w:rPr>
        <w:t xml:space="preserve">, </w:t>
      </w:r>
      <w:r w:rsidRPr="00F81FD7">
        <w:rPr>
          <w:sz w:val="22"/>
          <w:szCs w:val="22"/>
        </w:rPr>
        <w:t xml:space="preserve">is measured using mouse-based </w:t>
      </w:r>
      <w:r w:rsidR="007A12CA">
        <w:rPr>
          <w:sz w:val="22"/>
          <w:szCs w:val="22"/>
        </w:rPr>
        <w:t>bio</w:t>
      </w:r>
      <w:r w:rsidRPr="00F81FD7">
        <w:rPr>
          <w:sz w:val="22"/>
          <w:szCs w:val="22"/>
        </w:rPr>
        <w:t>assays, primarily the Mouse Potency Assay (MPA) and Mouse Neutralization Assay (MNA)</w:t>
      </w:r>
      <w:r w:rsidR="00CB43CA">
        <w:rPr>
          <w:sz w:val="22"/>
          <w:szCs w:val="22"/>
        </w:rPr>
        <w:t>, respectively</w:t>
      </w:r>
      <w:r w:rsidRPr="00F81FD7">
        <w:rPr>
          <w:sz w:val="22"/>
          <w:szCs w:val="22"/>
        </w:rPr>
        <w:t>.</w:t>
      </w:r>
    </w:p>
    <w:p w14:paraId="4872FB18" w14:textId="141A992C" w:rsidR="00F51A84" w:rsidRPr="00F81FD7" w:rsidRDefault="00F51A84" w:rsidP="00683B93">
      <w:pPr>
        <w:spacing w:line="240" w:lineRule="auto"/>
        <w:jc w:val="both"/>
        <w:rPr>
          <w:sz w:val="22"/>
          <w:szCs w:val="22"/>
        </w:rPr>
      </w:pPr>
      <w:r w:rsidRPr="00F81FD7">
        <w:rPr>
          <w:sz w:val="22"/>
          <w:szCs w:val="22"/>
        </w:rPr>
        <w:t xml:space="preserve">There is increasing scientific, ethical, and regulatory interest in transitioning to human-relevant </w:t>
      </w:r>
      <w:r w:rsidRPr="00083198">
        <w:rPr>
          <w:i/>
          <w:iCs/>
          <w:sz w:val="22"/>
          <w:szCs w:val="22"/>
        </w:rPr>
        <w:t>in vitro</w:t>
      </w:r>
      <w:r w:rsidRPr="00F81FD7">
        <w:rPr>
          <w:sz w:val="22"/>
          <w:szCs w:val="22"/>
        </w:rPr>
        <w:t xml:space="preserve"> systems that can provide mechanistic insight while reducing reliance on animal testing. NMJ micro-physiological systems may provide a biologically relevant platform capable of measuring </w:t>
      </w:r>
      <w:proofErr w:type="spellStart"/>
      <w:r w:rsidRPr="00F81FD7">
        <w:rPr>
          <w:sz w:val="22"/>
          <w:szCs w:val="22"/>
        </w:rPr>
        <w:t>BoNT</w:t>
      </w:r>
      <w:proofErr w:type="spellEnd"/>
      <w:r w:rsidRPr="00F81FD7">
        <w:rPr>
          <w:sz w:val="22"/>
          <w:szCs w:val="22"/>
        </w:rPr>
        <w:t xml:space="preserve"> </w:t>
      </w:r>
      <w:r w:rsidR="00CB43CA">
        <w:rPr>
          <w:sz w:val="22"/>
          <w:szCs w:val="22"/>
        </w:rPr>
        <w:t>potency</w:t>
      </w:r>
      <w:r w:rsidRPr="00F81FD7">
        <w:rPr>
          <w:sz w:val="22"/>
          <w:szCs w:val="22"/>
        </w:rPr>
        <w:t xml:space="preserve"> and evaluating countermeasure efficacy.</w:t>
      </w:r>
    </w:p>
    <w:p w14:paraId="7E17A12E" w14:textId="5B02F59F" w:rsidR="00F51A84" w:rsidRPr="00F81FD7" w:rsidRDefault="00F51A84" w:rsidP="00683B93">
      <w:pPr>
        <w:spacing w:line="240" w:lineRule="auto"/>
        <w:jc w:val="both"/>
        <w:rPr>
          <w:sz w:val="22"/>
          <w:szCs w:val="22"/>
        </w:rPr>
      </w:pPr>
      <w:r w:rsidRPr="00F81FD7">
        <w:rPr>
          <w:sz w:val="22"/>
          <w:szCs w:val="22"/>
        </w:rPr>
        <w:t>BARDA is interested in understanding whether NMJ-based in vitro platforms could support future development of validated assays capable of reducing</w:t>
      </w:r>
      <w:r w:rsidR="0043282A" w:rsidRPr="00F81FD7">
        <w:rPr>
          <w:sz w:val="22"/>
          <w:szCs w:val="22"/>
        </w:rPr>
        <w:t xml:space="preserve"> and potentially replac</w:t>
      </w:r>
      <w:r w:rsidR="004A12A3" w:rsidRPr="00F81FD7">
        <w:rPr>
          <w:sz w:val="22"/>
          <w:szCs w:val="22"/>
        </w:rPr>
        <w:t>ing</w:t>
      </w:r>
      <w:r w:rsidRPr="00F81FD7">
        <w:rPr>
          <w:sz w:val="22"/>
          <w:szCs w:val="22"/>
        </w:rPr>
        <w:t xml:space="preserve"> reliance on mouse bioassays for </w:t>
      </w:r>
      <w:proofErr w:type="spellStart"/>
      <w:r w:rsidRPr="00F81FD7">
        <w:rPr>
          <w:sz w:val="22"/>
          <w:szCs w:val="22"/>
        </w:rPr>
        <w:t>BoNT</w:t>
      </w:r>
      <w:proofErr w:type="spellEnd"/>
      <w:r w:rsidRPr="00F81FD7">
        <w:rPr>
          <w:sz w:val="22"/>
          <w:szCs w:val="22"/>
        </w:rPr>
        <w:t xml:space="preserve"> potency and neutralization measurements</w:t>
      </w:r>
      <w:r w:rsidR="007558A2" w:rsidRPr="00F81FD7">
        <w:rPr>
          <w:sz w:val="22"/>
          <w:szCs w:val="22"/>
        </w:rPr>
        <w:t>, with specific interest in systems that can show recovery of neuronal signaling and thereby be appropriate for medical countermeasures</w:t>
      </w:r>
      <w:r w:rsidR="005A00F7" w:rsidRPr="00F81FD7">
        <w:rPr>
          <w:sz w:val="22"/>
          <w:szCs w:val="22"/>
        </w:rPr>
        <w:t xml:space="preserve"> evaluation</w:t>
      </w:r>
      <w:r w:rsidRPr="00F81FD7">
        <w:rPr>
          <w:sz w:val="22"/>
          <w:szCs w:val="22"/>
        </w:rPr>
        <w:t>.</w:t>
      </w:r>
    </w:p>
    <w:p w14:paraId="75F9E7C5" w14:textId="20BC36FD" w:rsidR="00F51A84" w:rsidRPr="00F81FD7" w:rsidRDefault="00F51A84" w:rsidP="00105B07">
      <w:pPr>
        <w:spacing w:line="240" w:lineRule="auto"/>
        <w:rPr>
          <w:b/>
          <w:bCs/>
          <w:sz w:val="22"/>
          <w:szCs w:val="22"/>
        </w:rPr>
      </w:pPr>
      <w:r w:rsidRPr="00F81FD7">
        <w:rPr>
          <w:b/>
          <w:bCs/>
          <w:sz w:val="22"/>
          <w:szCs w:val="22"/>
        </w:rPr>
        <w:t>3. Requested Information</w:t>
      </w:r>
    </w:p>
    <w:p w14:paraId="13FA27C8" w14:textId="7A8A2BCC" w:rsidR="00F51A84" w:rsidRPr="00F81FD7" w:rsidRDefault="00F51A84" w:rsidP="0077225F">
      <w:pPr>
        <w:spacing w:line="240" w:lineRule="auto"/>
        <w:jc w:val="both"/>
        <w:rPr>
          <w:sz w:val="22"/>
          <w:szCs w:val="22"/>
        </w:rPr>
      </w:pPr>
      <w:r w:rsidRPr="749B7CF0">
        <w:rPr>
          <w:sz w:val="22"/>
          <w:szCs w:val="22"/>
        </w:rPr>
        <w:t>Respondents are invited to provide concise information describing the following</w:t>
      </w:r>
      <w:r w:rsidR="004A44B1">
        <w:rPr>
          <w:sz w:val="22"/>
          <w:szCs w:val="22"/>
        </w:rPr>
        <w:t xml:space="preserve"> items below</w:t>
      </w:r>
      <w:r w:rsidR="139DBD2F" w:rsidRPr="749B7CF0">
        <w:rPr>
          <w:sz w:val="22"/>
          <w:szCs w:val="22"/>
        </w:rPr>
        <w:t xml:space="preserve">. Respondents may include information on how additional funding could help advance their systems to address the applications </w:t>
      </w:r>
      <w:r w:rsidR="78BCEF82" w:rsidRPr="749B7CF0">
        <w:rPr>
          <w:sz w:val="22"/>
          <w:szCs w:val="22"/>
        </w:rPr>
        <w:t>in the Purpose</w:t>
      </w:r>
      <w:r w:rsidR="39AB0A3F" w:rsidRPr="749B7CF0">
        <w:rPr>
          <w:sz w:val="22"/>
          <w:szCs w:val="22"/>
        </w:rPr>
        <w:t xml:space="preserve">. </w:t>
      </w:r>
    </w:p>
    <w:p w14:paraId="0F3D6A54" w14:textId="5B72EE19" w:rsidR="00F51A84" w:rsidRPr="00F81FD7" w:rsidRDefault="39AB0A3F" w:rsidP="0077225F">
      <w:pPr>
        <w:spacing w:line="240" w:lineRule="auto"/>
        <w:jc w:val="both"/>
        <w:rPr>
          <w:sz w:val="22"/>
          <w:szCs w:val="22"/>
        </w:rPr>
      </w:pPr>
      <w:r w:rsidRPr="749B7CF0">
        <w:rPr>
          <w:sz w:val="22"/>
          <w:szCs w:val="22"/>
        </w:rPr>
        <w:lastRenderedPageBreak/>
        <w:t>Developers should only respond if they are supporting an existing NMJ system</w:t>
      </w:r>
      <w:r w:rsidR="0AFD7215" w:rsidRPr="749B7CF0">
        <w:rPr>
          <w:sz w:val="22"/>
          <w:szCs w:val="22"/>
        </w:rPr>
        <w:t xml:space="preserve"> that uses human cells and tissue</w:t>
      </w:r>
      <w:r w:rsidR="52D63197" w:rsidRPr="749B7CF0">
        <w:rPr>
          <w:sz w:val="22"/>
          <w:szCs w:val="22"/>
        </w:rPr>
        <w:t xml:space="preserve"> as </w:t>
      </w:r>
      <w:r w:rsidRPr="749B7CF0">
        <w:rPr>
          <w:sz w:val="22"/>
          <w:szCs w:val="22"/>
        </w:rPr>
        <w:t>BARDA</w:t>
      </w:r>
      <w:r w:rsidR="2CD4AE6C" w:rsidRPr="749B7CF0">
        <w:rPr>
          <w:sz w:val="22"/>
          <w:szCs w:val="22"/>
        </w:rPr>
        <w:t xml:space="preserve"> is not considering support for the development of new NMJ systems at this time.</w:t>
      </w:r>
    </w:p>
    <w:p w14:paraId="4224D26F" w14:textId="7ED23310" w:rsidR="00F51A84" w:rsidRPr="00F81FD7" w:rsidRDefault="00F51A84" w:rsidP="0077225F">
      <w:pPr>
        <w:spacing w:line="240" w:lineRule="auto"/>
        <w:jc w:val="both"/>
        <w:rPr>
          <w:sz w:val="22"/>
          <w:szCs w:val="22"/>
        </w:rPr>
      </w:pPr>
      <w:r w:rsidRPr="749B7CF0">
        <w:rPr>
          <w:b/>
          <w:bCs/>
          <w:sz w:val="22"/>
          <w:szCs w:val="22"/>
        </w:rPr>
        <w:t>Platform Description</w:t>
      </w:r>
    </w:p>
    <w:p w14:paraId="19A9D5D3" w14:textId="63250900" w:rsidR="00F51A84" w:rsidRPr="00F81FD7" w:rsidRDefault="00061D79" w:rsidP="0077225F">
      <w:pPr>
        <w:numPr>
          <w:ilvl w:val="0"/>
          <w:numId w:val="1"/>
        </w:numPr>
        <w:spacing w:line="240" w:lineRule="auto"/>
        <w:jc w:val="both"/>
        <w:rPr>
          <w:sz w:val="22"/>
          <w:szCs w:val="22"/>
        </w:rPr>
      </w:pPr>
      <w:r w:rsidRPr="749B7CF0">
        <w:rPr>
          <w:sz w:val="22"/>
          <w:szCs w:val="22"/>
        </w:rPr>
        <w:t xml:space="preserve">NMJ </w:t>
      </w:r>
      <w:r w:rsidR="00E15D4D" w:rsidRPr="749B7CF0">
        <w:rPr>
          <w:sz w:val="22"/>
          <w:szCs w:val="22"/>
        </w:rPr>
        <w:t>p</w:t>
      </w:r>
      <w:r w:rsidR="00F51A84" w:rsidRPr="749B7CF0">
        <w:rPr>
          <w:sz w:val="22"/>
          <w:szCs w:val="22"/>
        </w:rPr>
        <w:t>latform type</w:t>
      </w:r>
      <w:r w:rsidR="413845BF" w:rsidRPr="749B7CF0">
        <w:rPr>
          <w:sz w:val="22"/>
          <w:szCs w:val="22"/>
        </w:rPr>
        <w:t xml:space="preserve"> and components</w:t>
      </w:r>
      <w:r w:rsidR="00F51A84" w:rsidRPr="749B7CF0">
        <w:rPr>
          <w:sz w:val="22"/>
          <w:szCs w:val="22"/>
        </w:rPr>
        <w:t xml:space="preserve"> (e.g., organ-on-chip, microfluidic system, engineered tissue, MEA-enabled system, neuromuscular co-culture</w:t>
      </w:r>
      <w:r w:rsidR="00C168A2" w:rsidRPr="749B7CF0">
        <w:rPr>
          <w:sz w:val="22"/>
          <w:szCs w:val="22"/>
        </w:rPr>
        <w:t>, 3D</w:t>
      </w:r>
      <w:r w:rsidR="0038461B" w:rsidRPr="749B7CF0">
        <w:rPr>
          <w:sz w:val="22"/>
          <w:szCs w:val="22"/>
        </w:rPr>
        <w:t xml:space="preserve"> or compartmentalized culture</w:t>
      </w:r>
      <w:r w:rsidR="00F51A84" w:rsidRPr="749B7CF0">
        <w:rPr>
          <w:sz w:val="22"/>
          <w:szCs w:val="22"/>
        </w:rPr>
        <w:t>)</w:t>
      </w:r>
    </w:p>
    <w:p w14:paraId="237CCFE7" w14:textId="1ED72FA0" w:rsidR="00F51A84" w:rsidRPr="00F81FD7" w:rsidRDefault="00505451" w:rsidP="0077225F">
      <w:pPr>
        <w:numPr>
          <w:ilvl w:val="0"/>
          <w:numId w:val="1"/>
        </w:numPr>
        <w:spacing w:line="240" w:lineRule="auto"/>
        <w:jc w:val="both"/>
        <w:rPr>
          <w:sz w:val="22"/>
          <w:szCs w:val="22"/>
        </w:rPr>
      </w:pPr>
      <w:r>
        <w:rPr>
          <w:sz w:val="22"/>
          <w:szCs w:val="22"/>
        </w:rPr>
        <w:t>Current d</w:t>
      </w:r>
      <w:r w:rsidR="00F51A84" w:rsidRPr="00F81FD7">
        <w:rPr>
          <w:sz w:val="22"/>
          <w:szCs w:val="22"/>
        </w:rPr>
        <w:t xml:space="preserve">evelopment stage </w:t>
      </w:r>
      <w:r w:rsidR="006313A8" w:rsidRPr="00F81FD7">
        <w:rPr>
          <w:sz w:val="22"/>
          <w:szCs w:val="22"/>
        </w:rPr>
        <w:t>and maturity</w:t>
      </w:r>
      <w:r w:rsidR="00A303F8" w:rsidRPr="00F81FD7">
        <w:rPr>
          <w:sz w:val="22"/>
          <w:szCs w:val="22"/>
        </w:rPr>
        <w:t xml:space="preserve"> level </w:t>
      </w:r>
      <w:r w:rsidR="00F51A84" w:rsidRPr="00F81FD7">
        <w:rPr>
          <w:sz w:val="22"/>
          <w:szCs w:val="22"/>
        </w:rPr>
        <w:t>and current throughput/scalability</w:t>
      </w:r>
    </w:p>
    <w:p w14:paraId="06409901" w14:textId="6273FB38" w:rsidR="00F51A84" w:rsidRPr="00F81FD7" w:rsidRDefault="54BCD688" w:rsidP="0077225F">
      <w:pPr>
        <w:numPr>
          <w:ilvl w:val="0"/>
          <w:numId w:val="1"/>
        </w:numPr>
        <w:spacing w:line="240" w:lineRule="auto"/>
        <w:jc w:val="both"/>
        <w:rPr>
          <w:sz w:val="22"/>
          <w:szCs w:val="22"/>
        </w:rPr>
      </w:pPr>
      <w:r w:rsidRPr="749B7CF0">
        <w:rPr>
          <w:sz w:val="22"/>
          <w:szCs w:val="22"/>
        </w:rPr>
        <w:t xml:space="preserve">Ability to generate dose-response data (e.g., EC50 </w:t>
      </w:r>
      <w:r w:rsidR="007805C9" w:rsidRPr="749B7CF0">
        <w:rPr>
          <w:sz w:val="22"/>
          <w:szCs w:val="22"/>
        </w:rPr>
        <w:t>/</w:t>
      </w:r>
      <w:r w:rsidRPr="749B7CF0">
        <w:rPr>
          <w:sz w:val="22"/>
          <w:szCs w:val="22"/>
        </w:rPr>
        <w:t xml:space="preserve"> IC50)</w:t>
      </w:r>
      <w:r w:rsidR="00A7784C" w:rsidRPr="749B7CF0">
        <w:rPr>
          <w:sz w:val="22"/>
          <w:szCs w:val="22"/>
        </w:rPr>
        <w:t xml:space="preserve">, and </w:t>
      </w:r>
      <w:r w:rsidR="680E646E" w:rsidRPr="749B7CF0">
        <w:rPr>
          <w:sz w:val="22"/>
          <w:szCs w:val="22"/>
        </w:rPr>
        <w:t>durability of the system to enable</w:t>
      </w:r>
      <w:r w:rsidR="2682D9B0" w:rsidRPr="749B7CF0">
        <w:rPr>
          <w:sz w:val="22"/>
          <w:szCs w:val="22"/>
        </w:rPr>
        <w:t xml:space="preserve"> </w:t>
      </w:r>
      <w:r w:rsidR="00E40F98" w:rsidRPr="749B7CF0">
        <w:rPr>
          <w:sz w:val="22"/>
          <w:szCs w:val="22"/>
        </w:rPr>
        <w:t>measurements</w:t>
      </w:r>
      <w:r w:rsidR="2E52AFAB" w:rsidRPr="749B7CF0">
        <w:rPr>
          <w:sz w:val="22"/>
          <w:szCs w:val="22"/>
        </w:rPr>
        <w:t xml:space="preserve"> over time</w:t>
      </w:r>
      <w:r w:rsidR="00E01063" w:rsidRPr="749B7CF0">
        <w:rPr>
          <w:sz w:val="22"/>
          <w:szCs w:val="22"/>
        </w:rPr>
        <w:t>.</w:t>
      </w:r>
    </w:p>
    <w:p w14:paraId="4C94F437" w14:textId="6F3049CA" w:rsidR="10CF2B6E" w:rsidRDefault="10CF2B6E" w:rsidP="0077225F">
      <w:pPr>
        <w:numPr>
          <w:ilvl w:val="0"/>
          <w:numId w:val="1"/>
        </w:numPr>
        <w:spacing w:line="240" w:lineRule="auto"/>
        <w:jc w:val="both"/>
        <w:rPr>
          <w:sz w:val="22"/>
          <w:szCs w:val="22"/>
        </w:rPr>
      </w:pPr>
      <w:r w:rsidRPr="749B7CF0">
        <w:rPr>
          <w:sz w:val="22"/>
          <w:szCs w:val="22"/>
        </w:rPr>
        <w:t xml:space="preserve">Ability to differentiate between </w:t>
      </w:r>
      <w:r w:rsidR="16DCC4D0" w:rsidRPr="749B7CF0">
        <w:rPr>
          <w:sz w:val="22"/>
          <w:szCs w:val="22"/>
        </w:rPr>
        <w:t xml:space="preserve">botulinum neurotoxin </w:t>
      </w:r>
      <w:r w:rsidRPr="749B7CF0">
        <w:rPr>
          <w:sz w:val="22"/>
          <w:szCs w:val="22"/>
        </w:rPr>
        <w:t>serotypes</w:t>
      </w:r>
    </w:p>
    <w:p w14:paraId="773A64CC" w14:textId="77777777" w:rsidR="00F51A84" w:rsidRPr="00F81FD7" w:rsidRDefault="00F51A84" w:rsidP="0077225F">
      <w:pPr>
        <w:spacing w:line="240" w:lineRule="auto"/>
        <w:jc w:val="both"/>
        <w:rPr>
          <w:sz w:val="22"/>
          <w:szCs w:val="22"/>
        </w:rPr>
      </w:pPr>
      <w:r w:rsidRPr="00F81FD7">
        <w:rPr>
          <w:b/>
          <w:bCs/>
          <w:sz w:val="22"/>
          <w:szCs w:val="22"/>
        </w:rPr>
        <w:t>Biological System</w:t>
      </w:r>
    </w:p>
    <w:p w14:paraId="1639D11C" w14:textId="77777777" w:rsidR="00F51A84" w:rsidRPr="00F81FD7" w:rsidRDefault="00F51A84" w:rsidP="0077225F">
      <w:pPr>
        <w:numPr>
          <w:ilvl w:val="0"/>
          <w:numId w:val="2"/>
        </w:numPr>
        <w:spacing w:line="240" w:lineRule="auto"/>
        <w:jc w:val="both"/>
        <w:rPr>
          <w:sz w:val="22"/>
          <w:szCs w:val="22"/>
        </w:rPr>
      </w:pPr>
      <w:r w:rsidRPr="00F81FD7">
        <w:rPr>
          <w:sz w:val="22"/>
          <w:szCs w:val="22"/>
        </w:rPr>
        <w:t>Cell sources (human primary, iPSC-derived, engineered lines)</w:t>
      </w:r>
    </w:p>
    <w:p w14:paraId="4317E155" w14:textId="4A3AA099" w:rsidR="00F51A84" w:rsidRPr="00F81FD7" w:rsidRDefault="00F51A84" w:rsidP="0077225F">
      <w:pPr>
        <w:numPr>
          <w:ilvl w:val="0"/>
          <w:numId w:val="2"/>
        </w:numPr>
        <w:spacing w:line="240" w:lineRule="auto"/>
        <w:jc w:val="both"/>
        <w:rPr>
          <w:sz w:val="22"/>
          <w:szCs w:val="22"/>
        </w:rPr>
      </w:pPr>
      <w:r w:rsidRPr="00F81FD7">
        <w:rPr>
          <w:sz w:val="22"/>
          <w:szCs w:val="22"/>
        </w:rPr>
        <w:t xml:space="preserve">Evidence of functional motor neuron–muscle </w:t>
      </w:r>
      <w:r w:rsidR="00587D39">
        <w:rPr>
          <w:sz w:val="22"/>
          <w:szCs w:val="22"/>
        </w:rPr>
        <w:t xml:space="preserve">fibers </w:t>
      </w:r>
      <w:r w:rsidRPr="00F81FD7">
        <w:rPr>
          <w:sz w:val="22"/>
          <w:szCs w:val="22"/>
        </w:rPr>
        <w:t>connectivity and NMJ formation</w:t>
      </w:r>
    </w:p>
    <w:p w14:paraId="062C62A2" w14:textId="749E35BA" w:rsidR="00F51A84" w:rsidRPr="00F81FD7" w:rsidRDefault="00F51A84" w:rsidP="0077225F">
      <w:pPr>
        <w:numPr>
          <w:ilvl w:val="0"/>
          <w:numId w:val="2"/>
        </w:numPr>
        <w:spacing w:line="240" w:lineRule="auto"/>
        <w:jc w:val="both"/>
        <w:rPr>
          <w:sz w:val="22"/>
          <w:szCs w:val="22"/>
        </w:rPr>
      </w:pPr>
      <w:r w:rsidRPr="749B7CF0">
        <w:rPr>
          <w:sz w:val="22"/>
          <w:szCs w:val="22"/>
        </w:rPr>
        <w:t>Reproducibility</w:t>
      </w:r>
      <w:r w:rsidR="00F6341D" w:rsidRPr="749B7CF0">
        <w:rPr>
          <w:sz w:val="22"/>
          <w:szCs w:val="22"/>
        </w:rPr>
        <w:t>, sensitivity</w:t>
      </w:r>
      <w:r w:rsidRPr="749B7CF0">
        <w:rPr>
          <w:sz w:val="22"/>
          <w:szCs w:val="22"/>
        </w:rPr>
        <w:t xml:space="preserve"> and stability of the system</w:t>
      </w:r>
    </w:p>
    <w:p w14:paraId="4E7B4AF8" w14:textId="0C2B673E" w:rsidR="007818E0" w:rsidRPr="00F81FD7" w:rsidRDefault="00683472" w:rsidP="0077225F">
      <w:pPr>
        <w:numPr>
          <w:ilvl w:val="0"/>
          <w:numId w:val="2"/>
        </w:numPr>
        <w:spacing w:line="240" w:lineRule="auto"/>
        <w:jc w:val="both"/>
        <w:rPr>
          <w:sz w:val="22"/>
          <w:szCs w:val="22"/>
        </w:rPr>
      </w:pPr>
      <w:r w:rsidRPr="00F81FD7">
        <w:rPr>
          <w:sz w:val="22"/>
          <w:szCs w:val="22"/>
        </w:rPr>
        <w:t>Capabilities for system recovery, reflective of reestablishment of signaling outputs after injury</w:t>
      </w:r>
    </w:p>
    <w:p w14:paraId="6FD091C7" w14:textId="77777777" w:rsidR="00F51A84" w:rsidRPr="00F81FD7" w:rsidRDefault="00F51A84" w:rsidP="0077225F">
      <w:pPr>
        <w:spacing w:line="240" w:lineRule="auto"/>
        <w:jc w:val="both"/>
        <w:rPr>
          <w:sz w:val="22"/>
          <w:szCs w:val="22"/>
        </w:rPr>
      </w:pPr>
      <w:r w:rsidRPr="749B7CF0">
        <w:rPr>
          <w:b/>
          <w:bCs/>
          <w:sz w:val="22"/>
          <w:szCs w:val="22"/>
        </w:rPr>
        <w:t>Functional Readouts</w:t>
      </w:r>
    </w:p>
    <w:p w14:paraId="7190CA3A" w14:textId="2F8D8A0C" w:rsidR="00F51A84" w:rsidRPr="0040098B" w:rsidRDefault="63ADC4A9" w:rsidP="0077225F">
      <w:pPr>
        <w:numPr>
          <w:ilvl w:val="0"/>
          <w:numId w:val="3"/>
        </w:numPr>
        <w:spacing w:line="240" w:lineRule="auto"/>
        <w:jc w:val="both"/>
        <w:rPr>
          <w:rFonts w:eastAsiaTheme="minorEastAsia"/>
          <w:sz w:val="22"/>
          <w:szCs w:val="22"/>
        </w:rPr>
      </w:pPr>
      <w:r w:rsidRPr="0040098B">
        <w:rPr>
          <w:rFonts w:eastAsiaTheme="minorEastAsia"/>
          <w:color w:val="333333"/>
          <w:sz w:val="22"/>
          <w:szCs w:val="22"/>
        </w:rPr>
        <w:t xml:space="preserve">Assays and standards used to monitor tissue quality </w:t>
      </w:r>
    </w:p>
    <w:p w14:paraId="2F757096" w14:textId="5FD9B776" w:rsidR="00F51A84" w:rsidRPr="00F81FD7" w:rsidRDefault="00F51A84" w:rsidP="0077225F">
      <w:pPr>
        <w:numPr>
          <w:ilvl w:val="0"/>
          <w:numId w:val="3"/>
        </w:numPr>
        <w:spacing w:line="240" w:lineRule="auto"/>
        <w:jc w:val="both"/>
        <w:rPr>
          <w:sz w:val="22"/>
          <w:szCs w:val="22"/>
        </w:rPr>
      </w:pPr>
      <w:r w:rsidRPr="0040098B">
        <w:rPr>
          <w:rFonts w:eastAsiaTheme="minorEastAsia"/>
          <w:sz w:val="22"/>
          <w:szCs w:val="22"/>
        </w:rPr>
        <w:t>Available readouts (e.g., muscle contraction, electrophysiology, calcium imaging, SNARE cleavage, neurotran</w:t>
      </w:r>
      <w:r w:rsidRPr="749B7CF0">
        <w:rPr>
          <w:sz w:val="22"/>
          <w:szCs w:val="22"/>
        </w:rPr>
        <w:t>smitter release)</w:t>
      </w:r>
      <w:r w:rsidR="2AE08D10" w:rsidRPr="749B7CF0">
        <w:rPr>
          <w:sz w:val="22"/>
          <w:szCs w:val="22"/>
        </w:rPr>
        <w:t xml:space="preserve"> and frequency of data recording (e.g. continuous vs endpoint)</w:t>
      </w:r>
    </w:p>
    <w:p w14:paraId="476CF68B" w14:textId="59EAB54C" w:rsidR="00F51A84" w:rsidRPr="00F81FD7" w:rsidRDefault="00F51A84" w:rsidP="0077225F">
      <w:pPr>
        <w:numPr>
          <w:ilvl w:val="0"/>
          <w:numId w:val="3"/>
        </w:numPr>
        <w:spacing w:line="240" w:lineRule="auto"/>
        <w:jc w:val="both"/>
        <w:rPr>
          <w:sz w:val="22"/>
          <w:szCs w:val="22"/>
        </w:rPr>
      </w:pPr>
      <w:r w:rsidRPr="00F81FD7">
        <w:rPr>
          <w:sz w:val="22"/>
          <w:szCs w:val="22"/>
        </w:rPr>
        <w:t xml:space="preserve">Quantitative </w:t>
      </w:r>
      <w:r w:rsidR="00E44F42" w:rsidRPr="00F81FD7">
        <w:rPr>
          <w:sz w:val="22"/>
          <w:szCs w:val="22"/>
        </w:rPr>
        <w:t xml:space="preserve">readout </w:t>
      </w:r>
      <w:r w:rsidRPr="00F81FD7">
        <w:rPr>
          <w:sz w:val="22"/>
          <w:szCs w:val="22"/>
        </w:rPr>
        <w:t xml:space="preserve">capability and compatibility with </w:t>
      </w:r>
      <w:proofErr w:type="spellStart"/>
      <w:r w:rsidRPr="00F81FD7">
        <w:rPr>
          <w:sz w:val="22"/>
          <w:szCs w:val="22"/>
        </w:rPr>
        <w:t>BoNT</w:t>
      </w:r>
      <w:proofErr w:type="spellEnd"/>
      <w:r w:rsidRPr="00F81FD7">
        <w:rPr>
          <w:sz w:val="22"/>
          <w:szCs w:val="22"/>
        </w:rPr>
        <w:t xml:space="preserve"> mechanism of action</w:t>
      </w:r>
    </w:p>
    <w:p w14:paraId="3A3B1A59" w14:textId="77777777" w:rsidR="00F51A84" w:rsidRPr="00F81FD7" w:rsidRDefault="00F51A84" w:rsidP="0077225F">
      <w:pPr>
        <w:spacing w:line="240" w:lineRule="auto"/>
        <w:jc w:val="both"/>
        <w:rPr>
          <w:sz w:val="22"/>
          <w:szCs w:val="22"/>
        </w:rPr>
      </w:pPr>
      <w:proofErr w:type="spellStart"/>
      <w:r w:rsidRPr="00F81FD7">
        <w:rPr>
          <w:b/>
          <w:bCs/>
          <w:sz w:val="22"/>
          <w:szCs w:val="22"/>
        </w:rPr>
        <w:t>BoNT</w:t>
      </w:r>
      <w:proofErr w:type="spellEnd"/>
      <w:r w:rsidRPr="00F81FD7">
        <w:rPr>
          <w:b/>
          <w:bCs/>
          <w:sz w:val="22"/>
          <w:szCs w:val="22"/>
        </w:rPr>
        <w:t xml:space="preserve"> Experience</w:t>
      </w:r>
    </w:p>
    <w:p w14:paraId="086E98BC" w14:textId="16796FE2" w:rsidR="00F51A84" w:rsidRPr="00F81FD7" w:rsidRDefault="008C46E4" w:rsidP="0077225F">
      <w:pPr>
        <w:numPr>
          <w:ilvl w:val="0"/>
          <w:numId w:val="4"/>
        </w:numPr>
        <w:spacing w:line="240" w:lineRule="auto"/>
        <w:jc w:val="both"/>
        <w:rPr>
          <w:sz w:val="22"/>
          <w:szCs w:val="22"/>
        </w:rPr>
      </w:pPr>
      <w:r w:rsidRPr="749B7CF0">
        <w:rPr>
          <w:sz w:val="22"/>
          <w:szCs w:val="22"/>
        </w:rPr>
        <w:t>Evidence of p</w:t>
      </w:r>
      <w:r w:rsidR="00F51A84" w:rsidRPr="749B7CF0">
        <w:rPr>
          <w:sz w:val="22"/>
          <w:szCs w:val="22"/>
        </w:rPr>
        <w:t xml:space="preserve">rior work with </w:t>
      </w:r>
      <w:proofErr w:type="spellStart"/>
      <w:r w:rsidR="00F51A84" w:rsidRPr="749B7CF0">
        <w:rPr>
          <w:sz w:val="22"/>
          <w:szCs w:val="22"/>
        </w:rPr>
        <w:t>BoNT</w:t>
      </w:r>
      <w:proofErr w:type="spellEnd"/>
      <w:r w:rsidR="00F51A84" w:rsidRPr="749B7CF0">
        <w:rPr>
          <w:sz w:val="22"/>
          <w:szCs w:val="22"/>
        </w:rPr>
        <w:t xml:space="preserve"> (A–G), including potency measurements or validation data</w:t>
      </w:r>
    </w:p>
    <w:p w14:paraId="15E613F4" w14:textId="03BEDDD8" w:rsidR="00F51A84" w:rsidRPr="00F81FD7" w:rsidRDefault="00F51A84" w:rsidP="0077225F">
      <w:pPr>
        <w:numPr>
          <w:ilvl w:val="0"/>
          <w:numId w:val="4"/>
        </w:numPr>
        <w:spacing w:line="240" w:lineRule="auto"/>
        <w:jc w:val="both"/>
        <w:rPr>
          <w:sz w:val="22"/>
          <w:szCs w:val="22"/>
        </w:rPr>
      </w:pPr>
      <w:r w:rsidRPr="749B7CF0">
        <w:rPr>
          <w:sz w:val="22"/>
          <w:szCs w:val="22"/>
        </w:rPr>
        <w:t>Sensitivity</w:t>
      </w:r>
      <w:r w:rsidR="55DFD384" w:rsidRPr="749B7CF0">
        <w:rPr>
          <w:sz w:val="22"/>
          <w:szCs w:val="22"/>
        </w:rPr>
        <w:t xml:space="preserve"> and</w:t>
      </w:r>
      <w:r w:rsidRPr="749B7CF0">
        <w:rPr>
          <w:sz w:val="22"/>
          <w:szCs w:val="22"/>
        </w:rPr>
        <w:t xml:space="preserve"> assay </w:t>
      </w:r>
      <w:r w:rsidR="009C2219" w:rsidRPr="749B7CF0">
        <w:rPr>
          <w:sz w:val="22"/>
          <w:szCs w:val="22"/>
        </w:rPr>
        <w:t xml:space="preserve">dynamic </w:t>
      </w:r>
      <w:r w:rsidRPr="749B7CF0">
        <w:rPr>
          <w:sz w:val="22"/>
          <w:szCs w:val="22"/>
        </w:rPr>
        <w:t>range</w:t>
      </w:r>
    </w:p>
    <w:p w14:paraId="36983F33" w14:textId="286E3B21" w:rsidR="00F51A84" w:rsidRPr="00F81FD7" w:rsidRDefault="00F51A84" w:rsidP="0077225F">
      <w:pPr>
        <w:numPr>
          <w:ilvl w:val="0"/>
          <w:numId w:val="4"/>
        </w:numPr>
        <w:spacing w:line="240" w:lineRule="auto"/>
        <w:jc w:val="both"/>
        <w:rPr>
          <w:sz w:val="22"/>
          <w:szCs w:val="22"/>
        </w:rPr>
      </w:pPr>
      <w:r w:rsidRPr="00F81FD7">
        <w:rPr>
          <w:sz w:val="22"/>
          <w:szCs w:val="22"/>
        </w:rPr>
        <w:t xml:space="preserve">If no prior experience exists, describe readiness to adapt </w:t>
      </w:r>
      <w:r w:rsidR="009C2219" w:rsidRPr="00F81FD7">
        <w:rPr>
          <w:sz w:val="22"/>
          <w:szCs w:val="22"/>
        </w:rPr>
        <w:t>your</w:t>
      </w:r>
      <w:r w:rsidRPr="00F81FD7">
        <w:rPr>
          <w:sz w:val="22"/>
          <w:szCs w:val="22"/>
        </w:rPr>
        <w:t xml:space="preserve"> platform for </w:t>
      </w:r>
      <w:proofErr w:type="spellStart"/>
      <w:r w:rsidRPr="00F81FD7">
        <w:rPr>
          <w:sz w:val="22"/>
          <w:szCs w:val="22"/>
        </w:rPr>
        <w:t>BoNT</w:t>
      </w:r>
      <w:proofErr w:type="spellEnd"/>
      <w:r w:rsidRPr="00F81FD7">
        <w:rPr>
          <w:sz w:val="22"/>
          <w:szCs w:val="22"/>
        </w:rPr>
        <w:t xml:space="preserve"> testing</w:t>
      </w:r>
    </w:p>
    <w:p w14:paraId="09BD4CEA" w14:textId="4C515CD1" w:rsidR="00F51A84" w:rsidRPr="00F81FD7" w:rsidRDefault="00F51A84" w:rsidP="0077225F">
      <w:pPr>
        <w:spacing w:line="240" w:lineRule="auto"/>
        <w:jc w:val="both"/>
        <w:rPr>
          <w:sz w:val="22"/>
          <w:szCs w:val="22"/>
        </w:rPr>
      </w:pPr>
      <w:r w:rsidRPr="749B7CF0">
        <w:rPr>
          <w:b/>
          <w:bCs/>
          <w:sz w:val="22"/>
          <w:szCs w:val="22"/>
        </w:rPr>
        <w:t>Regulatory Considerations</w:t>
      </w:r>
    </w:p>
    <w:p w14:paraId="014450C5" w14:textId="6893C4C2" w:rsidR="00F51A84" w:rsidRPr="00F81FD7" w:rsidRDefault="00F51A84" w:rsidP="0077225F">
      <w:pPr>
        <w:numPr>
          <w:ilvl w:val="0"/>
          <w:numId w:val="5"/>
        </w:numPr>
        <w:spacing w:line="240" w:lineRule="auto"/>
        <w:jc w:val="both"/>
        <w:rPr>
          <w:sz w:val="22"/>
          <w:szCs w:val="22"/>
        </w:rPr>
      </w:pPr>
      <w:r w:rsidRPr="749B7CF0">
        <w:rPr>
          <w:sz w:val="22"/>
          <w:szCs w:val="22"/>
        </w:rPr>
        <w:t>Validation</w:t>
      </w:r>
      <w:r w:rsidR="009C2219" w:rsidRPr="749B7CF0">
        <w:rPr>
          <w:sz w:val="22"/>
          <w:szCs w:val="22"/>
        </w:rPr>
        <w:t>/qualification</w:t>
      </w:r>
      <w:r w:rsidRPr="749B7CF0">
        <w:rPr>
          <w:sz w:val="22"/>
          <w:szCs w:val="22"/>
        </w:rPr>
        <w:t xml:space="preserve"> strategy </w:t>
      </w:r>
    </w:p>
    <w:p w14:paraId="3E3C6820" w14:textId="2B47F626" w:rsidR="00F51A84" w:rsidRPr="00F81FD7" w:rsidRDefault="2F817AE8" w:rsidP="0077225F">
      <w:pPr>
        <w:numPr>
          <w:ilvl w:val="0"/>
          <w:numId w:val="5"/>
        </w:numPr>
        <w:spacing w:line="240" w:lineRule="auto"/>
        <w:jc w:val="both"/>
        <w:rPr>
          <w:sz w:val="22"/>
          <w:szCs w:val="22"/>
        </w:rPr>
      </w:pPr>
      <w:r w:rsidRPr="749B7CF0">
        <w:rPr>
          <w:sz w:val="22"/>
          <w:szCs w:val="22"/>
        </w:rPr>
        <w:t>E</w:t>
      </w:r>
      <w:r w:rsidR="00F51A84" w:rsidRPr="749B7CF0">
        <w:rPr>
          <w:sz w:val="22"/>
          <w:szCs w:val="22"/>
        </w:rPr>
        <w:t xml:space="preserve">xperience with FDA engagement or regulatory qualification programs (e.g., FDA </w:t>
      </w:r>
      <w:proofErr w:type="spellStart"/>
      <w:r w:rsidR="00F51A84" w:rsidRPr="749B7CF0">
        <w:rPr>
          <w:sz w:val="22"/>
          <w:szCs w:val="22"/>
        </w:rPr>
        <w:t>iSTAND</w:t>
      </w:r>
      <w:proofErr w:type="spellEnd"/>
      <w:r w:rsidR="36F30217" w:rsidRPr="749B7CF0">
        <w:rPr>
          <w:sz w:val="22"/>
          <w:szCs w:val="22"/>
        </w:rPr>
        <w:t>)</w:t>
      </w:r>
      <w:r w:rsidR="11F91FB9" w:rsidRPr="749B7CF0">
        <w:rPr>
          <w:sz w:val="22"/>
          <w:szCs w:val="22"/>
        </w:rPr>
        <w:t>, if any</w:t>
      </w:r>
      <w:r w:rsidR="0ECA18DA" w:rsidRPr="749B7CF0">
        <w:rPr>
          <w:sz w:val="22"/>
          <w:szCs w:val="22"/>
        </w:rPr>
        <w:t>, with clear description of proposed “context of use”.</w:t>
      </w:r>
    </w:p>
    <w:p w14:paraId="7451C4F8" w14:textId="7174ACD5" w:rsidR="5D357552" w:rsidRPr="0040098B" w:rsidRDefault="5D357552" w:rsidP="0077225F">
      <w:pPr>
        <w:spacing w:line="240" w:lineRule="auto"/>
        <w:jc w:val="both"/>
        <w:rPr>
          <w:b/>
          <w:bCs/>
          <w:sz w:val="22"/>
          <w:szCs w:val="22"/>
        </w:rPr>
      </w:pPr>
      <w:r w:rsidRPr="0040098B">
        <w:rPr>
          <w:b/>
          <w:bCs/>
          <w:sz w:val="22"/>
          <w:szCs w:val="22"/>
        </w:rPr>
        <w:t>Commercial</w:t>
      </w:r>
      <w:r w:rsidR="5550181F" w:rsidRPr="749B7CF0">
        <w:rPr>
          <w:b/>
          <w:bCs/>
          <w:sz w:val="22"/>
          <w:szCs w:val="22"/>
        </w:rPr>
        <w:t>/Manufacturing</w:t>
      </w:r>
      <w:r w:rsidRPr="0040098B">
        <w:rPr>
          <w:b/>
          <w:bCs/>
          <w:sz w:val="22"/>
          <w:szCs w:val="22"/>
        </w:rPr>
        <w:t xml:space="preserve"> Considerations</w:t>
      </w:r>
    </w:p>
    <w:p w14:paraId="14BA8822" w14:textId="566A64BE" w:rsidR="00F51A84" w:rsidRPr="00F81FD7" w:rsidRDefault="00F51A84" w:rsidP="0077225F">
      <w:pPr>
        <w:numPr>
          <w:ilvl w:val="0"/>
          <w:numId w:val="5"/>
        </w:numPr>
        <w:spacing w:line="240" w:lineRule="auto"/>
        <w:jc w:val="both"/>
        <w:rPr>
          <w:sz w:val="22"/>
          <w:szCs w:val="22"/>
        </w:rPr>
      </w:pPr>
      <w:r w:rsidRPr="749B7CF0">
        <w:rPr>
          <w:sz w:val="22"/>
          <w:szCs w:val="22"/>
        </w:rPr>
        <w:t xml:space="preserve">Intellectual property </w:t>
      </w:r>
      <w:r w:rsidR="2663C699" w:rsidRPr="749B7CF0">
        <w:rPr>
          <w:sz w:val="22"/>
          <w:szCs w:val="22"/>
        </w:rPr>
        <w:t>limitations</w:t>
      </w:r>
    </w:p>
    <w:p w14:paraId="2E737987" w14:textId="1D969400" w:rsidR="00F51A84" w:rsidRPr="00F81FD7" w:rsidRDefault="55A2AEB7" w:rsidP="0077225F">
      <w:pPr>
        <w:numPr>
          <w:ilvl w:val="0"/>
          <w:numId w:val="5"/>
        </w:numPr>
        <w:spacing w:line="240" w:lineRule="auto"/>
        <w:jc w:val="both"/>
        <w:rPr>
          <w:sz w:val="22"/>
          <w:szCs w:val="22"/>
        </w:rPr>
      </w:pPr>
      <w:r w:rsidRPr="749B7CF0">
        <w:rPr>
          <w:sz w:val="22"/>
          <w:szCs w:val="22"/>
        </w:rPr>
        <w:t>C</w:t>
      </w:r>
      <w:r w:rsidR="00F51A84" w:rsidRPr="749B7CF0">
        <w:rPr>
          <w:sz w:val="22"/>
          <w:szCs w:val="22"/>
        </w:rPr>
        <w:t xml:space="preserve">ommercial </w:t>
      </w:r>
      <w:r w:rsidR="00A6084E" w:rsidRPr="749B7CF0">
        <w:rPr>
          <w:sz w:val="22"/>
          <w:szCs w:val="22"/>
        </w:rPr>
        <w:t>strategy</w:t>
      </w:r>
    </w:p>
    <w:p w14:paraId="7197CD55" w14:textId="0F7B89C4" w:rsidR="20DACA86" w:rsidRDefault="20DACA86" w:rsidP="0077225F">
      <w:pPr>
        <w:numPr>
          <w:ilvl w:val="0"/>
          <w:numId w:val="5"/>
        </w:numPr>
        <w:spacing w:line="240" w:lineRule="auto"/>
        <w:jc w:val="both"/>
        <w:rPr>
          <w:sz w:val="22"/>
          <w:szCs w:val="22"/>
        </w:rPr>
      </w:pPr>
      <w:r w:rsidRPr="7A265C4F">
        <w:rPr>
          <w:sz w:val="22"/>
          <w:szCs w:val="22"/>
        </w:rPr>
        <w:t>Scalability</w:t>
      </w:r>
    </w:p>
    <w:p w14:paraId="661BA584" w14:textId="2C48AD25" w:rsidR="20DACA86" w:rsidRDefault="68C6456D" w:rsidP="0077225F">
      <w:pPr>
        <w:numPr>
          <w:ilvl w:val="0"/>
          <w:numId w:val="5"/>
        </w:numPr>
        <w:spacing w:line="240" w:lineRule="auto"/>
        <w:jc w:val="both"/>
        <w:rPr>
          <w:sz w:val="22"/>
          <w:szCs w:val="22"/>
        </w:rPr>
      </w:pPr>
      <w:r w:rsidRPr="7A265C4F">
        <w:rPr>
          <w:sz w:val="22"/>
          <w:szCs w:val="22"/>
        </w:rPr>
        <w:t>Platform material and manufacturing, and assembly throughput</w:t>
      </w:r>
    </w:p>
    <w:p w14:paraId="5F57F2B4" w14:textId="57347545" w:rsidR="00F51A84" w:rsidRPr="00F81FD7" w:rsidRDefault="00F51A84" w:rsidP="0077225F">
      <w:pPr>
        <w:spacing w:line="240" w:lineRule="auto"/>
        <w:jc w:val="both"/>
        <w:rPr>
          <w:b/>
          <w:bCs/>
          <w:sz w:val="22"/>
          <w:szCs w:val="22"/>
        </w:rPr>
      </w:pPr>
      <w:r w:rsidRPr="00F81FD7">
        <w:rPr>
          <w:b/>
          <w:bCs/>
          <w:sz w:val="22"/>
          <w:szCs w:val="22"/>
        </w:rPr>
        <w:lastRenderedPageBreak/>
        <w:t>Operational Considerations</w:t>
      </w:r>
      <w:r w:rsidR="0046142E" w:rsidRPr="00F81FD7">
        <w:rPr>
          <w:b/>
          <w:bCs/>
          <w:sz w:val="22"/>
          <w:szCs w:val="22"/>
        </w:rPr>
        <w:t xml:space="preserve"> and Challenges</w:t>
      </w:r>
    </w:p>
    <w:p w14:paraId="4C06C792" w14:textId="46EE69E1" w:rsidR="00F51A84" w:rsidRPr="00F81FD7" w:rsidRDefault="00F51A84" w:rsidP="0077225F">
      <w:pPr>
        <w:spacing w:line="240" w:lineRule="auto"/>
        <w:jc w:val="both"/>
        <w:rPr>
          <w:sz w:val="22"/>
          <w:szCs w:val="22"/>
        </w:rPr>
      </w:pPr>
      <w:r w:rsidRPr="749B7CF0">
        <w:rPr>
          <w:sz w:val="22"/>
          <w:szCs w:val="22"/>
        </w:rPr>
        <w:t xml:space="preserve">Respondents should identify </w:t>
      </w:r>
      <w:r w:rsidR="008E1BB0" w:rsidRPr="749B7CF0">
        <w:rPr>
          <w:sz w:val="22"/>
          <w:szCs w:val="22"/>
        </w:rPr>
        <w:t xml:space="preserve">any </w:t>
      </w:r>
      <w:r w:rsidRPr="749B7CF0">
        <w:rPr>
          <w:sz w:val="22"/>
          <w:szCs w:val="22"/>
        </w:rPr>
        <w:t xml:space="preserve">potential challenges associated with development of an NMJ-based </w:t>
      </w:r>
      <w:proofErr w:type="spellStart"/>
      <w:r w:rsidRPr="749B7CF0">
        <w:rPr>
          <w:sz w:val="22"/>
          <w:szCs w:val="22"/>
        </w:rPr>
        <w:t>BoNT</w:t>
      </w:r>
      <w:proofErr w:type="spellEnd"/>
      <w:r w:rsidRPr="749B7CF0">
        <w:rPr>
          <w:sz w:val="22"/>
          <w:szCs w:val="22"/>
        </w:rPr>
        <w:t xml:space="preserve"> assay, including</w:t>
      </w:r>
      <w:r w:rsidR="008E1BB0" w:rsidRPr="749B7CF0">
        <w:rPr>
          <w:sz w:val="22"/>
          <w:szCs w:val="22"/>
        </w:rPr>
        <w:t xml:space="preserve"> but not limited to</w:t>
      </w:r>
      <w:r w:rsidRPr="749B7CF0">
        <w:rPr>
          <w:sz w:val="22"/>
          <w:szCs w:val="22"/>
        </w:rPr>
        <w:t>:</w:t>
      </w:r>
    </w:p>
    <w:p w14:paraId="3B230042" w14:textId="164093E4" w:rsidR="00F51A84" w:rsidRPr="00F81FD7" w:rsidRDefault="00F51A84" w:rsidP="0077225F">
      <w:pPr>
        <w:numPr>
          <w:ilvl w:val="0"/>
          <w:numId w:val="6"/>
        </w:numPr>
        <w:spacing w:line="240" w:lineRule="auto"/>
        <w:jc w:val="both"/>
        <w:rPr>
          <w:sz w:val="22"/>
          <w:szCs w:val="22"/>
        </w:rPr>
      </w:pPr>
      <w:r w:rsidRPr="00F81FD7">
        <w:rPr>
          <w:sz w:val="22"/>
          <w:szCs w:val="22"/>
        </w:rPr>
        <w:t xml:space="preserve">Access to Select Agent-accredited laboratories capable of working with </w:t>
      </w:r>
      <w:proofErr w:type="spellStart"/>
      <w:r w:rsidRPr="00F81FD7">
        <w:rPr>
          <w:sz w:val="22"/>
          <w:szCs w:val="22"/>
        </w:rPr>
        <w:t>BoNT</w:t>
      </w:r>
      <w:proofErr w:type="spellEnd"/>
      <w:r w:rsidRPr="00F81FD7">
        <w:rPr>
          <w:sz w:val="22"/>
          <w:szCs w:val="22"/>
        </w:rPr>
        <w:t xml:space="preserve"> serotypes A–G</w:t>
      </w:r>
      <w:r w:rsidR="002A48E9" w:rsidRPr="00F81FD7">
        <w:rPr>
          <w:sz w:val="22"/>
          <w:szCs w:val="22"/>
        </w:rPr>
        <w:t xml:space="preserve"> and conduct</w:t>
      </w:r>
      <w:r w:rsidR="00F77167" w:rsidRPr="00F81FD7">
        <w:rPr>
          <w:sz w:val="22"/>
          <w:szCs w:val="22"/>
        </w:rPr>
        <w:t>ing</w:t>
      </w:r>
      <w:r w:rsidR="002A48E9" w:rsidRPr="00F81FD7">
        <w:rPr>
          <w:sz w:val="22"/>
          <w:szCs w:val="22"/>
        </w:rPr>
        <w:t xml:space="preserve"> animal studies</w:t>
      </w:r>
      <w:r w:rsidR="001372E1" w:rsidRPr="00F81FD7">
        <w:rPr>
          <w:sz w:val="22"/>
          <w:szCs w:val="22"/>
        </w:rPr>
        <w:t>, if necessary</w:t>
      </w:r>
      <w:r w:rsidR="006A3F5C" w:rsidRPr="00F81FD7">
        <w:rPr>
          <w:sz w:val="22"/>
          <w:szCs w:val="22"/>
        </w:rPr>
        <w:t>.</w:t>
      </w:r>
    </w:p>
    <w:p w14:paraId="48CDC41C" w14:textId="57B6F0C7" w:rsidR="00F51A84" w:rsidRPr="00F81FD7" w:rsidRDefault="00F51A84" w:rsidP="0077225F">
      <w:pPr>
        <w:numPr>
          <w:ilvl w:val="0"/>
          <w:numId w:val="6"/>
        </w:numPr>
        <w:spacing w:line="240" w:lineRule="auto"/>
        <w:jc w:val="both"/>
        <w:rPr>
          <w:sz w:val="22"/>
          <w:szCs w:val="22"/>
        </w:rPr>
      </w:pPr>
      <w:r w:rsidRPr="00F81FD7">
        <w:rPr>
          <w:sz w:val="22"/>
          <w:szCs w:val="22"/>
        </w:rPr>
        <w:t>Potential partnerships with</w:t>
      </w:r>
      <w:r w:rsidR="008B1653" w:rsidRPr="00F81FD7">
        <w:rPr>
          <w:sz w:val="22"/>
          <w:szCs w:val="22"/>
        </w:rPr>
        <w:t xml:space="preserve"> contract research organizations (</w:t>
      </w:r>
      <w:r w:rsidRPr="00F81FD7">
        <w:rPr>
          <w:sz w:val="22"/>
          <w:szCs w:val="22"/>
        </w:rPr>
        <w:t>CROs</w:t>
      </w:r>
      <w:r w:rsidR="008B1653" w:rsidRPr="00F81FD7">
        <w:rPr>
          <w:sz w:val="22"/>
          <w:szCs w:val="22"/>
        </w:rPr>
        <w:t>)</w:t>
      </w:r>
      <w:r w:rsidRPr="00F81FD7">
        <w:rPr>
          <w:sz w:val="22"/>
          <w:szCs w:val="22"/>
        </w:rPr>
        <w:t xml:space="preserve"> or research institutions</w:t>
      </w:r>
      <w:r w:rsidR="006438B9" w:rsidRPr="00F81FD7">
        <w:rPr>
          <w:sz w:val="22"/>
          <w:szCs w:val="22"/>
        </w:rPr>
        <w:t>.</w:t>
      </w:r>
    </w:p>
    <w:p w14:paraId="18E941BD" w14:textId="1565E359" w:rsidR="00F51A84" w:rsidRPr="00F81FD7" w:rsidRDefault="00F51A84" w:rsidP="0077225F">
      <w:pPr>
        <w:numPr>
          <w:ilvl w:val="0"/>
          <w:numId w:val="6"/>
        </w:numPr>
        <w:spacing w:line="240" w:lineRule="auto"/>
        <w:jc w:val="both"/>
        <w:rPr>
          <w:sz w:val="22"/>
          <w:szCs w:val="22"/>
        </w:rPr>
      </w:pPr>
      <w:r w:rsidRPr="7A265C4F">
        <w:rPr>
          <w:sz w:val="22"/>
          <w:szCs w:val="22"/>
        </w:rPr>
        <w:t>Scalability</w:t>
      </w:r>
      <w:r w:rsidR="001E349E" w:rsidRPr="7A265C4F">
        <w:rPr>
          <w:sz w:val="22"/>
          <w:szCs w:val="22"/>
        </w:rPr>
        <w:t xml:space="preserve"> or throughput</w:t>
      </w:r>
      <w:r w:rsidRPr="7A265C4F">
        <w:rPr>
          <w:sz w:val="22"/>
          <w:szCs w:val="22"/>
        </w:rPr>
        <w:t xml:space="preserve"> to generate sufficient data for potency determination in a single experiment</w:t>
      </w:r>
      <w:r w:rsidR="009018A3" w:rsidRPr="7A265C4F">
        <w:rPr>
          <w:sz w:val="22"/>
          <w:szCs w:val="22"/>
        </w:rPr>
        <w:t>.</w:t>
      </w:r>
      <w:r w:rsidR="00133082" w:rsidRPr="7A265C4F">
        <w:rPr>
          <w:sz w:val="22"/>
          <w:szCs w:val="22"/>
        </w:rPr>
        <w:t xml:space="preserve"> A single experiment</w:t>
      </w:r>
      <w:r w:rsidR="00262FF6" w:rsidRPr="7A265C4F">
        <w:rPr>
          <w:sz w:val="22"/>
          <w:szCs w:val="22"/>
        </w:rPr>
        <w:t xml:space="preserve"> or </w:t>
      </w:r>
      <w:r w:rsidR="00133082" w:rsidRPr="7A265C4F">
        <w:rPr>
          <w:sz w:val="22"/>
          <w:szCs w:val="22"/>
        </w:rPr>
        <w:t>run</w:t>
      </w:r>
      <w:r w:rsidR="00A14337" w:rsidRPr="7A265C4F">
        <w:rPr>
          <w:sz w:val="22"/>
          <w:szCs w:val="22"/>
        </w:rPr>
        <w:t>/day</w:t>
      </w:r>
      <w:r w:rsidR="00133082" w:rsidRPr="7A265C4F">
        <w:rPr>
          <w:sz w:val="22"/>
          <w:szCs w:val="22"/>
        </w:rPr>
        <w:t xml:space="preserve"> is defined as the minimum number of independent cultures</w:t>
      </w:r>
      <w:r w:rsidR="009F434F" w:rsidRPr="7A265C4F">
        <w:rPr>
          <w:sz w:val="22"/>
          <w:szCs w:val="22"/>
        </w:rPr>
        <w:t xml:space="preserve"> required to test up to </w:t>
      </w:r>
      <w:r w:rsidR="00A14337" w:rsidRPr="7A265C4F">
        <w:rPr>
          <w:sz w:val="22"/>
          <w:szCs w:val="22"/>
        </w:rPr>
        <w:t>8</w:t>
      </w:r>
      <w:r w:rsidR="009F434F" w:rsidRPr="7A265C4F">
        <w:rPr>
          <w:sz w:val="22"/>
          <w:szCs w:val="22"/>
        </w:rPr>
        <w:t xml:space="preserve"> serial dilutions of </w:t>
      </w:r>
      <w:r w:rsidR="009770E7" w:rsidRPr="7A265C4F">
        <w:rPr>
          <w:sz w:val="22"/>
          <w:szCs w:val="22"/>
        </w:rPr>
        <w:t>neurotoxin</w:t>
      </w:r>
      <w:r w:rsidR="003918DC" w:rsidRPr="7A265C4F">
        <w:rPr>
          <w:sz w:val="22"/>
          <w:szCs w:val="22"/>
        </w:rPr>
        <w:t xml:space="preserve"> in duplicate or quadruplicate</w:t>
      </w:r>
      <w:r w:rsidR="00630760" w:rsidRPr="7A265C4F">
        <w:rPr>
          <w:sz w:val="22"/>
          <w:szCs w:val="22"/>
        </w:rPr>
        <w:t xml:space="preserve"> to generate datapoints for the calculation of the potency </w:t>
      </w:r>
      <w:proofErr w:type="gramStart"/>
      <w:r w:rsidR="00A23205" w:rsidRPr="7A265C4F">
        <w:rPr>
          <w:sz w:val="22"/>
          <w:szCs w:val="22"/>
        </w:rPr>
        <w:t>titer</w:t>
      </w:r>
      <w:proofErr w:type="gramEnd"/>
      <w:r w:rsidR="00246BE0" w:rsidRPr="7A265C4F">
        <w:rPr>
          <w:sz w:val="22"/>
          <w:szCs w:val="22"/>
        </w:rPr>
        <w:t xml:space="preserve"> by 4 parametric linear regression</w:t>
      </w:r>
      <w:r w:rsidR="000003E4" w:rsidRPr="7A265C4F">
        <w:rPr>
          <w:sz w:val="22"/>
          <w:szCs w:val="22"/>
        </w:rPr>
        <w:t xml:space="preserve"> analysis.</w:t>
      </w:r>
    </w:p>
    <w:p w14:paraId="478BA1C9" w14:textId="34B892FA" w:rsidR="00F51A84" w:rsidRPr="00F81FD7" w:rsidRDefault="00F51A84" w:rsidP="0077225F">
      <w:pPr>
        <w:numPr>
          <w:ilvl w:val="0"/>
          <w:numId w:val="6"/>
        </w:numPr>
        <w:spacing w:line="240" w:lineRule="auto"/>
        <w:jc w:val="both"/>
        <w:rPr>
          <w:sz w:val="22"/>
          <w:szCs w:val="22"/>
        </w:rPr>
      </w:pPr>
      <w:r w:rsidRPr="7A265C4F">
        <w:rPr>
          <w:sz w:val="22"/>
          <w:szCs w:val="22"/>
        </w:rPr>
        <w:t>Potential barriers to regulatory qualification</w:t>
      </w:r>
      <w:r w:rsidR="2366D9D8" w:rsidRPr="7A265C4F">
        <w:rPr>
          <w:sz w:val="22"/>
          <w:szCs w:val="22"/>
        </w:rPr>
        <w:t xml:space="preserve"> through </w:t>
      </w:r>
      <w:proofErr w:type="spellStart"/>
      <w:r w:rsidR="2366D9D8" w:rsidRPr="7A265C4F">
        <w:rPr>
          <w:sz w:val="22"/>
          <w:szCs w:val="22"/>
        </w:rPr>
        <w:t>iSTAND</w:t>
      </w:r>
      <w:proofErr w:type="spellEnd"/>
      <w:r w:rsidR="2366D9D8" w:rsidRPr="7A265C4F">
        <w:rPr>
          <w:sz w:val="22"/>
          <w:szCs w:val="22"/>
        </w:rPr>
        <w:t xml:space="preserve"> or incorporation into a regulatory submission for an IND product.</w:t>
      </w:r>
    </w:p>
    <w:p w14:paraId="0B133746" w14:textId="36432425" w:rsidR="00A94D11" w:rsidRPr="00F81FD7" w:rsidRDefault="00E16E49" w:rsidP="0077225F">
      <w:pPr>
        <w:spacing w:line="240" w:lineRule="auto"/>
        <w:jc w:val="both"/>
        <w:rPr>
          <w:b/>
          <w:bCs/>
          <w:sz w:val="22"/>
          <w:szCs w:val="22"/>
        </w:rPr>
      </w:pPr>
      <w:r w:rsidRPr="00F81FD7">
        <w:rPr>
          <w:b/>
          <w:bCs/>
          <w:sz w:val="22"/>
          <w:szCs w:val="22"/>
        </w:rPr>
        <w:t xml:space="preserve">4. </w:t>
      </w:r>
      <w:r w:rsidR="00665811" w:rsidRPr="00F81FD7">
        <w:rPr>
          <w:b/>
          <w:bCs/>
          <w:sz w:val="22"/>
          <w:szCs w:val="22"/>
        </w:rPr>
        <w:t>Current US Government Funding</w:t>
      </w:r>
    </w:p>
    <w:p w14:paraId="300A7F21" w14:textId="6713DB65" w:rsidR="00665811" w:rsidRDefault="00665811" w:rsidP="0077225F">
      <w:pPr>
        <w:pStyle w:val="ListParagraph"/>
        <w:numPr>
          <w:ilvl w:val="0"/>
          <w:numId w:val="8"/>
        </w:numPr>
        <w:spacing w:line="240" w:lineRule="auto"/>
        <w:jc w:val="both"/>
        <w:rPr>
          <w:sz w:val="22"/>
          <w:szCs w:val="22"/>
        </w:rPr>
      </w:pPr>
      <w:r w:rsidRPr="7A265C4F">
        <w:rPr>
          <w:sz w:val="22"/>
          <w:szCs w:val="22"/>
        </w:rPr>
        <w:t>Describe any previous or existing US Government funding</w:t>
      </w:r>
      <w:r w:rsidR="00763353" w:rsidRPr="7A265C4F">
        <w:rPr>
          <w:sz w:val="22"/>
          <w:szCs w:val="22"/>
        </w:rPr>
        <w:t xml:space="preserve"> </w:t>
      </w:r>
      <w:r w:rsidR="00896896" w:rsidRPr="7A265C4F">
        <w:rPr>
          <w:sz w:val="22"/>
          <w:szCs w:val="22"/>
        </w:rPr>
        <w:t xml:space="preserve">you </w:t>
      </w:r>
      <w:r w:rsidR="50B5DA78" w:rsidRPr="7A265C4F">
        <w:rPr>
          <w:sz w:val="22"/>
          <w:szCs w:val="22"/>
        </w:rPr>
        <w:t xml:space="preserve">received </w:t>
      </w:r>
      <w:r w:rsidR="00763353" w:rsidRPr="7A265C4F">
        <w:rPr>
          <w:sz w:val="22"/>
          <w:szCs w:val="22"/>
        </w:rPr>
        <w:t xml:space="preserve">in this </w:t>
      </w:r>
      <w:r w:rsidR="00050267" w:rsidRPr="7A265C4F">
        <w:rPr>
          <w:sz w:val="22"/>
          <w:szCs w:val="22"/>
        </w:rPr>
        <w:t>area</w:t>
      </w:r>
      <w:r w:rsidR="0EF4AFAD" w:rsidRPr="7A265C4F">
        <w:rPr>
          <w:sz w:val="22"/>
          <w:szCs w:val="22"/>
        </w:rPr>
        <w:t xml:space="preserve"> as either a primary awardee or as part of the team. I</w:t>
      </w:r>
      <w:r w:rsidR="54BD18F9" w:rsidRPr="7A265C4F">
        <w:rPr>
          <w:sz w:val="22"/>
          <w:szCs w:val="22"/>
        </w:rPr>
        <w:t xml:space="preserve">nclude </w:t>
      </w:r>
      <w:r w:rsidR="00AB536E" w:rsidRPr="7A265C4F">
        <w:rPr>
          <w:sz w:val="22"/>
          <w:szCs w:val="22"/>
        </w:rPr>
        <w:t xml:space="preserve">grant or contract number, </w:t>
      </w:r>
      <w:r w:rsidR="00FB1A47" w:rsidRPr="7A265C4F">
        <w:rPr>
          <w:sz w:val="22"/>
          <w:szCs w:val="22"/>
        </w:rPr>
        <w:t xml:space="preserve">year of award, </w:t>
      </w:r>
      <w:r w:rsidR="0084009A" w:rsidRPr="7A265C4F">
        <w:rPr>
          <w:sz w:val="22"/>
          <w:szCs w:val="22"/>
        </w:rPr>
        <w:t>objectives</w:t>
      </w:r>
      <w:r w:rsidR="00AB536E" w:rsidRPr="7A265C4F">
        <w:rPr>
          <w:sz w:val="22"/>
          <w:szCs w:val="22"/>
        </w:rPr>
        <w:t xml:space="preserve"> of the project and </w:t>
      </w:r>
      <w:r w:rsidR="003A5E56" w:rsidRPr="7A265C4F">
        <w:rPr>
          <w:sz w:val="22"/>
          <w:szCs w:val="22"/>
        </w:rPr>
        <w:t xml:space="preserve">progress </w:t>
      </w:r>
      <w:r w:rsidR="00050267" w:rsidRPr="7A265C4F">
        <w:rPr>
          <w:sz w:val="22"/>
          <w:szCs w:val="22"/>
        </w:rPr>
        <w:t xml:space="preserve">status and </w:t>
      </w:r>
      <w:r w:rsidR="003A5E56" w:rsidRPr="7A265C4F">
        <w:rPr>
          <w:sz w:val="22"/>
          <w:szCs w:val="22"/>
        </w:rPr>
        <w:t>accomplish</w:t>
      </w:r>
      <w:r w:rsidR="00050267" w:rsidRPr="7A265C4F">
        <w:rPr>
          <w:sz w:val="22"/>
          <w:szCs w:val="22"/>
        </w:rPr>
        <w:t>ment</w:t>
      </w:r>
      <w:r w:rsidR="00FB1A47" w:rsidRPr="7A265C4F">
        <w:rPr>
          <w:sz w:val="22"/>
          <w:szCs w:val="22"/>
        </w:rPr>
        <w:t xml:space="preserve"> to date</w:t>
      </w:r>
      <w:r w:rsidR="003A5E56" w:rsidRPr="7A265C4F">
        <w:rPr>
          <w:sz w:val="22"/>
          <w:szCs w:val="22"/>
        </w:rPr>
        <w:t>.</w:t>
      </w:r>
    </w:p>
    <w:p w14:paraId="3E32A30D" w14:textId="77777777" w:rsidR="004A44B1" w:rsidRPr="00F81FD7" w:rsidRDefault="004A44B1" w:rsidP="0077225F">
      <w:pPr>
        <w:pStyle w:val="ListParagraph"/>
        <w:spacing w:line="240" w:lineRule="auto"/>
        <w:jc w:val="both"/>
        <w:rPr>
          <w:sz w:val="22"/>
          <w:szCs w:val="22"/>
        </w:rPr>
      </w:pPr>
    </w:p>
    <w:p w14:paraId="753BE139" w14:textId="34A53BCC" w:rsidR="00257783" w:rsidRPr="00F81FD7" w:rsidRDefault="00257783" w:rsidP="0077225F">
      <w:pPr>
        <w:pStyle w:val="ListParagraph"/>
        <w:numPr>
          <w:ilvl w:val="0"/>
          <w:numId w:val="8"/>
        </w:numPr>
        <w:spacing w:line="240" w:lineRule="auto"/>
        <w:jc w:val="both"/>
        <w:rPr>
          <w:sz w:val="22"/>
          <w:szCs w:val="22"/>
        </w:rPr>
      </w:pPr>
      <w:r w:rsidRPr="00F81FD7">
        <w:rPr>
          <w:sz w:val="22"/>
          <w:szCs w:val="22"/>
        </w:rPr>
        <w:t>Describe the gaps</w:t>
      </w:r>
      <w:r w:rsidR="005A00F7" w:rsidRPr="00F81FD7">
        <w:rPr>
          <w:sz w:val="22"/>
          <w:szCs w:val="22"/>
        </w:rPr>
        <w:t>, if any,</w:t>
      </w:r>
      <w:r w:rsidRPr="00F81FD7">
        <w:rPr>
          <w:sz w:val="22"/>
          <w:szCs w:val="22"/>
        </w:rPr>
        <w:t xml:space="preserve"> </w:t>
      </w:r>
      <w:r w:rsidR="00BF1E4F" w:rsidRPr="00F81FD7">
        <w:rPr>
          <w:sz w:val="22"/>
          <w:szCs w:val="22"/>
        </w:rPr>
        <w:t>in the existing funding</w:t>
      </w:r>
      <w:r w:rsidR="00E3583A" w:rsidRPr="00F81FD7">
        <w:rPr>
          <w:sz w:val="22"/>
          <w:szCs w:val="22"/>
        </w:rPr>
        <w:t xml:space="preserve"> that</w:t>
      </w:r>
      <w:r w:rsidR="005A00F7" w:rsidRPr="00F81FD7">
        <w:rPr>
          <w:sz w:val="22"/>
          <w:szCs w:val="22"/>
        </w:rPr>
        <w:t xml:space="preserve"> may be short of </w:t>
      </w:r>
      <w:r w:rsidR="00514314" w:rsidRPr="00F81FD7">
        <w:rPr>
          <w:sz w:val="22"/>
          <w:szCs w:val="22"/>
        </w:rPr>
        <w:t>enabling</w:t>
      </w:r>
      <w:r w:rsidR="005A00F7" w:rsidRPr="00F81FD7">
        <w:rPr>
          <w:sz w:val="22"/>
          <w:szCs w:val="22"/>
        </w:rPr>
        <w:t xml:space="preserve"> full development of </w:t>
      </w:r>
      <w:r w:rsidR="00514314" w:rsidRPr="00F81FD7">
        <w:rPr>
          <w:sz w:val="22"/>
          <w:szCs w:val="22"/>
        </w:rPr>
        <w:t xml:space="preserve">your </w:t>
      </w:r>
      <w:proofErr w:type="spellStart"/>
      <w:r w:rsidR="005A00F7" w:rsidRPr="00F81FD7">
        <w:rPr>
          <w:sz w:val="22"/>
          <w:szCs w:val="22"/>
        </w:rPr>
        <w:t>BoNT</w:t>
      </w:r>
      <w:proofErr w:type="spellEnd"/>
      <w:r w:rsidR="005A00F7" w:rsidRPr="00F81FD7">
        <w:rPr>
          <w:sz w:val="22"/>
          <w:szCs w:val="22"/>
        </w:rPr>
        <w:t>-NMJ system for the evaluation of medical countermeasures</w:t>
      </w:r>
      <w:r w:rsidR="00056981" w:rsidRPr="00F81FD7">
        <w:rPr>
          <w:sz w:val="22"/>
          <w:szCs w:val="22"/>
        </w:rPr>
        <w:t>.</w:t>
      </w:r>
    </w:p>
    <w:p w14:paraId="3F120853" w14:textId="098CFEF2" w:rsidR="00F51A84" w:rsidRPr="00F81FD7" w:rsidRDefault="003A5E56" w:rsidP="0077225F">
      <w:pPr>
        <w:spacing w:line="240" w:lineRule="auto"/>
        <w:jc w:val="both"/>
        <w:rPr>
          <w:b/>
          <w:bCs/>
          <w:sz w:val="22"/>
          <w:szCs w:val="22"/>
        </w:rPr>
      </w:pPr>
      <w:r w:rsidRPr="00F81FD7">
        <w:rPr>
          <w:b/>
          <w:bCs/>
          <w:sz w:val="22"/>
          <w:szCs w:val="22"/>
        </w:rPr>
        <w:t>5</w:t>
      </w:r>
      <w:r w:rsidR="00F51A84" w:rsidRPr="00F81FD7">
        <w:rPr>
          <w:b/>
          <w:bCs/>
          <w:sz w:val="22"/>
          <w:szCs w:val="22"/>
        </w:rPr>
        <w:t>. Response Instructions</w:t>
      </w:r>
    </w:p>
    <w:p w14:paraId="7BCB92F8" w14:textId="77777777" w:rsidR="00C60549" w:rsidRPr="00C60549" w:rsidRDefault="00F51A84" w:rsidP="0077225F">
      <w:pPr>
        <w:spacing w:line="240" w:lineRule="auto"/>
        <w:jc w:val="both"/>
        <w:rPr>
          <w:sz w:val="22"/>
          <w:szCs w:val="22"/>
        </w:rPr>
      </w:pPr>
      <w:r w:rsidRPr="00F81FD7">
        <w:rPr>
          <w:sz w:val="22"/>
          <w:szCs w:val="22"/>
        </w:rPr>
        <w:t>Interested organizations should submit a concise written response addressing the requested information.</w:t>
      </w:r>
      <w:r w:rsidR="00C60549">
        <w:rPr>
          <w:sz w:val="22"/>
          <w:szCs w:val="22"/>
        </w:rPr>
        <w:t xml:space="preserve"> </w:t>
      </w:r>
      <w:r w:rsidR="00C60549" w:rsidRPr="00C60549">
        <w:rPr>
          <w:b/>
          <w:bCs/>
          <w:sz w:val="22"/>
          <w:szCs w:val="22"/>
        </w:rPr>
        <w:t>Responses should be no more than five (5) pages, excluding references.</w:t>
      </w:r>
    </w:p>
    <w:p w14:paraId="31D61FA3" w14:textId="29A2CBBE" w:rsidR="00F51A84" w:rsidRPr="00F81FD7" w:rsidRDefault="00577294" w:rsidP="0077225F">
      <w:pPr>
        <w:spacing w:line="240" w:lineRule="auto"/>
        <w:jc w:val="both"/>
        <w:rPr>
          <w:sz w:val="22"/>
          <w:szCs w:val="22"/>
        </w:rPr>
      </w:pPr>
      <w:r w:rsidRPr="00F81FD7">
        <w:rPr>
          <w:sz w:val="22"/>
          <w:szCs w:val="22"/>
        </w:rPr>
        <w:t xml:space="preserve"> Proprietary information should be clearly marked.</w:t>
      </w:r>
      <w:r w:rsidR="00C60549">
        <w:rPr>
          <w:sz w:val="22"/>
          <w:szCs w:val="22"/>
        </w:rPr>
        <w:t xml:space="preserve"> Do not submit any classified information. </w:t>
      </w:r>
    </w:p>
    <w:p w14:paraId="7E886EA0" w14:textId="3C002018" w:rsidR="00F51A84" w:rsidRPr="00F81FD7" w:rsidRDefault="00F51A84" w:rsidP="0077225F">
      <w:pPr>
        <w:spacing w:line="240" w:lineRule="auto"/>
        <w:jc w:val="both"/>
        <w:rPr>
          <w:sz w:val="22"/>
          <w:szCs w:val="22"/>
        </w:rPr>
      </w:pPr>
      <w:r w:rsidRPr="7A265C4F">
        <w:rPr>
          <w:sz w:val="22"/>
          <w:szCs w:val="22"/>
        </w:rPr>
        <w:t>Responses should include:</w:t>
      </w:r>
    </w:p>
    <w:p w14:paraId="5308FC17" w14:textId="77777777" w:rsidR="00F51A84" w:rsidRDefault="00F51A84" w:rsidP="0077225F">
      <w:pPr>
        <w:numPr>
          <w:ilvl w:val="0"/>
          <w:numId w:val="7"/>
        </w:numPr>
        <w:spacing w:line="240" w:lineRule="auto"/>
        <w:jc w:val="both"/>
        <w:rPr>
          <w:sz w:val="22"/>
          <w:szCs w:val="22"/>
        </w:rPr>
      </w:pPr>
      <w:r w:rsidRPr="00F81FD7">
        <w:rPr>
          <w:sz w:val="22"/>
          <w:szCs w:val="22"/>
        </w:rPr>
        <w:t>Organization name and contact information</w:t>
      </w:r>
    </w:p>
    <w:p w14:paraId="26828B71" w14:textId="4BC220E6" w:rsidR="00242E07" w:rsidRPr="00F81FD7" w:rsidRDefault="00667C6F" w:rsidP="0077225F">
      <w:pPr>
        <w:numPr>
          <w:ilvl w:val="0"/>
          <w:numId w:val="7"/>
        </w:numPr>
        <w:spacing w:line="240" w:lineRule="auto"/>
        <w:jc w:val="both"/>
        <w:rPr>
          <w:sz w:val="22"/>
          <w:szCs w:val="22"/>
        </w:rPr>
      </w:pPr>
      <w:r>
        <w:rPr>
          <w:sz w:val="22"/>
          <w:szCs w:val="22"/>
        </w:rPr>
        <w:t xml:space="preserve">Brief description of the company’s </w:t>
      </w:r>
      <w:r w:rsidR="00A74335">
        <w:rPr>
          <w:sz w:val="22"/>
          <w:szCs w:val="22"/>
        </w:rPr>
        <w:t xml:space="preserve">overall </w:t>
      </w:r>
      <w:r w:rsidR="006405A1">
        <w:rPr>
          <w:sz w:val="22"/>
          <w:szCs w:val="22"/>
        </w:rPr>
        <w:t>area</w:t>
      </w:r>
      <w:r w:rsidR="00A74335">
        <w:rPr>
          <w:sz w:val="22"/>
          <w:szCs w:val="22"/>
        </w:rPr>
        <w:t>(s)</w:t>
      </w:r>
      <w:r w:rsidR="006405A1">
        <w:rPr>
          <w:sz w:val="22"/>
          <w:szCs w:val="22"/>
        </w:rPr>
        <w:t xml:space="preserve"> of interest, </w:t>
      </w:r>
      <w:r w:rsidR="005170B4">
        <w:rPr>
          <w:sz w:val="22"/>
          <w:szCs w:val="22"/>
        </w:rPr>
        <w:t>capabilities and experience</w:t>
      </w:r>
    </w:p>
    <w:p w14:paraId="1ABBE3E3" w14:textId="72BE05B5" w:rsidR="00F51A84" w:rsidRPr="00F81FD7" w:rsidRDefault="54BCD688" w:rsidP="0077225F">
      <w:pPr>
        <w:numPr>
          <w:ilvl w:val="0"/>
          <w:numId w:val="7"/>
        </w:numPr>
        <w:spacing w:line="240" w:lineRule="auto"/>
        <w:jc w:val="both"/>
        <w:rPr>
          <w:sz w:val="22"/>
          <w:szCs w:val="22"/>
        </w:rPr>
      </w:pPr>
      <w:r w:rsidRPr="7A265C4F">
        <w:rPr>
          <w:sz w:val="22"/>
          <w:szCs w:val="22"/>
        </w:rPr>
        <w:t>Description of the NMJ platform or technology</w:t>
      </w:r>
      <w:r w:rsidR="003A2DCB" w:rsidRPr="7A265C4F">
        <w:rPr>
          <w:sz w:val="22"/>
          <w:szCs w:val="22"/>
        </w:rPr>
        <w:t xml:space="preserve"> following the </w:t>
      </w:r>
      <w:r w:rsidR="006A7DF0" w:rsidRPr="7A265C4F">
        <w:rPr>
          <w:sz w:val="22"/>
          <w:szCs w:val="22"/>
        </w:rPr>
        <w:t xml:space="preserve">requested </w:t>
      </w:r>
      <w:r w:rsidR="00C065BB" w:rsidRPr="7A265C4F">
        <w:rPr>
          <w:sz w:val="22"/>
          <w:szCs w:val="22"/>
        </w:rPr>
        <w:t>information</w:t>
      </w:r>
      <w:r w:rsidR="00B92B69" w:rsidRPr="7A265C4F">
        <w:rPr>
          <w:sz w:val="22"/>
          <w:szCs w:val="22"/>
        </w:rPr>
        <w:t xml:space="preserve"> listed above</w:t>
      </w:r>
      <w:r w:rsidR="00242E07" w:rsidRPr="7A265C4F">
        <w:rPr>
          <w:sz w:val="22"/>
          <w:szCs w:val="22"/>
        </w:rPr>
        <w:t>.</w:t>
      </w:r>
    </w:p>
    <w:p w14:paraId="60EF2B14" w14:textId="5C5299C5" w:rsidR="00F51A84" w:rsidRPr="00F81FD7" w:rsidRDefault="003A5E56" w:rsidP="00105B07">
      <w:pPr>
        <w:spacing w:line="240" w:lineRule="auto"/>
        <w:rPr>
          <w:b/>
          <w:bCs/>
          <w:sz w:val="22"/>
          <w:szCs w:val="22"/>
        </w:rPr>
      </w:pPr>
      <w:r w:rsidRPr="00F81FD7">
        <w:rPr>
          <w:b/>
          <w:bCs/>
          <w:sz w:val="22"/>
          <w:szCs w:val="22"/>
        </w:rPr>
        <w:t>6</w:t>
      </w:r>
      <w:r w:rsidR="00F51A84" w:rsidRPr="00F81FD7">
        <w:rPr>
          <w:b/>
          <w:bCs/>
          <w:sz w:val="22"/>
          <w:szCs w:val="22"/>
        </w:rPr>
        <w:t>. Submission Instructions</w:t>
      </w:r>
    </w:p>
    <w:p w14:paraId="525498B3" w14:textId="3E2F9CA0" w:rsidR="00F51A84" w:rsidRPr="00F81FD7" w:rsidRDefault="00F51A84" w:rsidP="00105B07">
      <w:pPr>
        <w:spacing w:line="240" w:lineRule="auto"/>
        <w:rPr>
          <w:sz w:val="22"/>
          <w:szCs w:val="22"/>
        </w:rPr>
      </w:pPr>
      <w:r w:rsidRPr="00F81FD7">
        <w:rPr>
          <w:sz w:val="22"/>
          <w:szCs w:val="22"/>
        </w:rPr>
        <w:t xml:space="preserve">Responses should be submitted electronically in PDF </w:t>
      </w:r>
      <w:r w:rsidR="009D225B" w:rsidRPr="00F81FD7">
        <w:rPr>
          <w:sz w:val="22"/>
          <w:szCs w:val="22"/>
        </w:rPr>
        <w:t xml:space="preserve">or </w:t>
      </w:r>
      <w:r w:rsidR="000F6D15" w:rsidRPr="00F81FD7">
        <w:rPr>
          <w:sz w:val="22"/>
          <w:szCs w:val="22"/>
        </w:rPr>
        <w:t xml:space="preserve">Microsoft Word </w:t>
      </w:r>
      <w:r w:rsidRPr="00F81FD7">
        <w:rPr>
          <w:sz w:val="22"/>
          <w:szCs w:val="22"/>
        </w:rPr>
        <w:t>format</w:t>
      </w:r>
      <w:r w:rsidR="000F6D15" w:rsidRPr="00F81FD7">
        <w:rPr>
          <w:sz w:val="22"/>
          <w:szCs w:val="22"/>
        </w:rPr>
        <w:t>s</w:t>
      </w:r>
      <w:r w:rsidRPr="00F81FD7">
        <w:rPr>
          <w:sz w:val="22"/>
          <w:szCs w:val="22"/>
        </w:rPr>
        <w:t>.</w:t>
      </w:r>
    </w:p>
    <w:p w14:paraId="07347417" w14:textId="77777777" w:rsidR="007D0014" w:rsidRPr="004A44B1" w:rsidRDefault="00F51A84" w:rsidP="004A44B1">
      <w:pPr>
        <w:spacing w:before="240" w:line="240" w:lineRule="auto"/>
        <w:jc w:val="center"/>
        <w:rPr>
          <w:b/>
          <w:bCs/>
          <w:sz w:val="32"/>
          <w:szCs w:val="32"/>
        </w:rPr>
      </w:pPr>
      <w:r w:rsidRPr="004A44B1">
        <w:rPr>
          <w:b/>
          <w:bCs/>
          <w:sz w:val="32"/>
          <w:szCs w:val="32"/>
        </w:rPr>
        <w:t>Submission Email</w:t>
      </w:r>
      <w:r w:rsidR="007D0014" w:rsidRPr="004A44B1">
        <w:rPr>
          <w:b/>
          <w:bCs/>
          <w:sz w:val="32"/>
          <w:szCs w:val="32"/>
        </w:rPr>
        <w:t xml:space="preserve"> and Deadline</w:t>
      </w:r>
      <w:r w:rsidRPr="004A44B1">
        <w:rPr>
          <w:b/>
          <w:bCs/>
          <w:sz w:val="32"/>
          <w:szCs w:val="32"/>
        </w:rPr>
        <w:t>:</w:t>
      </w:r>
    </w:p>
    <w:p w14:paraId="1272DD3A" w14:textId="0979E962" w:rsidR="00F51A84" w:rsidRPr="00087F8C" w:rsidRDefault="007D0014" w:rsidP="004A44B1">
      <w:pPr>
        <w:spacing w:line="240" w:lineRule="auto"/>
        <w:jc w:val="center"/>
        <w:rPr>
          <w:b/>
          <w:bCs/>
          <w:sz w:val="32"/>
          <w:szCs w:val="32"/>
        </w:rPr>
      </w:pPr>
      <w:r w:rsidRPr="00087F8C">
        <w:rPr>
          <w:b/>
          <w:bCs/>
          <w:sz w:val="32"/>
          <w:szCs w:val="32"/>
        </w:rPr>
        <w:t xml:space="preserve">Please submit responses by email to </w:t>
      </w:r>
      <w:r w:rsidRPr="00D63EA2">
        <w:rPr>
          <w:b/>
          <w:bCs/>
          <w:sz w:val="32"/>
          <w:szCs w:val="32"/>
        </w:rPr>
        <w:t>rrpv@ati.org</w:t>
      </w:r>
      <w:r w:rsidRPr="00087F8C">
        <w:rPr>
          <w:b/>
          <w:bCs/>
          <w:sz w:val="32"/>
          <w:szCs w:val="32"/>
        </w:rPr>
        <w:t xml:space="preserve"> no later than 1pm ET on</w:t>
      </w:r>
      <w:r w:rsidR="004A44B1" w:rsidRPr="00087F8C">
        <w:rPr>
          <w:b/>
          <w:bCs/>
          <w:sz w:val="32"/>
          <w:szCs w:val="32"/>
        </w:rPr>
        <w:t xml:space="preserve"> May</w:t>
      </w:r>
      <w:r w:rsidR="00893866">
        <w:rPr>
          <w:b/>
          <w:bCs/>
          <w:sz w:val="32"/>
          <w:szCs w:val="32"/>
        </w:rPr>
        <w:t xml:space="preserve"> 11</w:t>
      </w:r>
      <w:r w:rsidRPr="00087F8C">
        <w:rPr>
          <w:b/>
          <w:bCs/>
          <w:sz w:val="32"/>
          <w:szCs w:val="32"/>
        </w:rPr>
        <w:t>, 2026.</w:t>
      </w:r>
    </w:p>
    <w:p w14:paraId="5B9DB783" w14:textId="16176E7E" w:rsidR="00F51A84" w:rsidRPr="00F81FD7" w:rsidRDefault="00F51A84" w:rsidP="00105B07">
      <w:pPr>
        <w:spacing w:line="240" w:lineRule="auto"/>
        <w:rPr>
          <w:sz w:val="22"/>
          <w:szCs w:val="22"/>
        </w:rPr>
      </w:pPr>
      <w:r w:rsidRPr="00F81FD7">
        <w:rPr>
          <w:b/>
          <w:bCs/>
          <w:sz w:val="22"/>
          <w:szCs w:val="22"/>
        </w:rPr>
        <w:t>Subject Line:</w:t>
      </w:r>
      <w:r w:rsidRPr="00F81FD7">
        <w:rPr>
          <w:sz w:val="22"/>
          <w:szCs w:val="22"/>
        </w:rPr>
        <w:br/>
        <w:t>RFI Response</w:t>
      </w:r>
      <w:r w:rsidR="00B70ACA" w:rsidRPr="00F81FD7">
        <w:rPr>
          <w:sz w:val="22"/>
          <w:szCs w:val="22"/>
        </w:rPr>
        <w:t xml:space="preserve">: </w:t>
      </w:r>
      <w:r w:rsidRPr="00F81FD7">
        <w:rPr>
          <w:sz w:val="22"/>
          <w:szCs w:val="22"/>
        </w:rPr>
        <w:t xml:space="preserve">NMJ MPS Platforms for </w:t>
      </w:r>
      <w:proofErr w:type="spellStart"/>
      <w:r w:rsidRPr="00F81FD7">
        <w:rPr>
          <w:sz w:val="22"/>
          <w:szCs w:val="22"/>
        </w:rPr>
        <w:t>BoNT</w:t>
      </w:r>
      <w:proofErr w:type="spellEnd"/>
      <w:r w:rsidRPr="00F81FD7">
        <w:rPr>
          <w:sz w:val="22"/>
          <w:szCs w:val="22"/>
        </w:rPr>
        <w:t xml:space="preserve"> </w:t>
      </w:r>
      <w:r w:rsidR="000F6D15" w:rsidRPr="00F81FD7">
        <w:rPr>
          <w:sz w:val="22"/>
          <w:szCs w:val="22"/>
        </w:rPr>
        <w:t>Potency</w:t>
      </w:r>
      <w:r w:rsidR="006030FD" w:rsidRPr="00F81FD7">
        <w:rPr>
          <w:sz w:val="22"/>
          <w:szCs w:val="22"/>
        </w:rPr>
        <w:t xml:space="preserve"> Assay</w:t>
      </w:r>
    </w:p>
    <w:p w14:paraId="20E0AA4E" w14:textId="76A3BEB8" w:rsidR="00F51A84" w:rsidRPr="00F81FD7" w:rsidRDefault="00F51A84" w:rsidP="00105B07">
      <w:pPr>
        <w:spacing w:line="240" w:lineRule="auto"/>
        <w:rPr>
          <w:b/>
          <w:bCs/>
          <w:sz w:val="22"/>
          <w:szCs w:val="22"/>
        </w:rPr>
      </w:pPr>
      <w:r w:rsidRPr="00F81FD7">
        <w:rPr>
          <w:b/>
          <w:bCs/>
          <w:sz w:val="22"/>
          <w:szCs w:val="22"/>
        </w:rPr>
        <w:lastRenderedPageBreak/>
        <w:t>Disclaimer</w:t>
      </w:r>
    </w:p>
    <w:p w14:paraId="7502C4EA" w14:textId="567853F3" w:rsidR="00676D49" w:rsidRPr="00F81FD7" w:rsidRDefault="00F51A84" w:rsidP="0077225F">
      <w:pPr>
        <w:spacing w:line="240" w:lineRule="auto"/>
        <w:jc w:val="both"/>
        <w:rPr>
          <w:sz w:val="22"/>
          <w:szCs w:val="22"/>
        </w:rPr>
      </w:pPr>
      <w:r w:rsidRPr="00F81FD7">
        <w:rPr>
          <w:sz w:val="22"/>
          <w:szCs w:val="22"/>
        </w:rPr>
        <w:t>This RFI is issued for information and planning purposes only and does not constitute a solicitation or obligation on the part of the Government, BARDA, or ATI. Responses will not be reimbursed and will be used solely for market research and planning purposes.</w:t>
      </w:r>
      <w:r w:rsidR="00444978" w:rsidRPr="00F81FD7">
        <w:rPr>
          <w:sz w:val="22"/>
          <w:szCs w:val="22"/>
        </w:rPr>
        <w:t xml:space="preserve"> </w:t>
      </w:r>
    </w:p>
    <w:sectPr w:rsidR="00676D49" w:rsidRPr="00F81FD7" w:rsidSect="004A44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4DF7" w14:textId="77777777" w:rsidR="00D63EA2" w:rsidRDefault="00D63EA2" w:rsidP="00D63EA2">
      <w:pPr>
        <w:spacing w:after="0" w:line="240" w:lineRule="auto"/>
      </w:pPr>
      <w:r>
        <w:separator/>
      </w:r>
    </w:p>
  </w:endnote>
  <w:endnote w:type="continuationSeparator" w:id="0">
    <w:p w14:paraId="45C72EBD" w14:textId="77777777" w:rsidR="00D63EA2" w:rsidRDefault="00D63EA2" w:rsidP="00D6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DFDE" w14:textId="77777777" w:rsidR="00D63EA2" w:rsidRDefault="00D6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323" w14:textId="77777777" w:rsidR="00D63EA2" w:rsidRDefault="00D63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647" w14:textId="77777777" w:rsidR="00D63EA2" w:rsidRDefault="00D6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FC2E" w14:textId="77777777" w:rsidR="00D63EA2" w:rsidRDefault="00D63EA2" w:rsidP="00D63EA2">
      <w:pPr>
        <w:spacing w:after="0" w:line="240" w:lineRule="auto"/>
      </w:pPr>
      <w:r>
        <w:separator/>
      </w:r>
    </w:p>
  </w:footnote>
  <w:footnote w:type="continuationSeparator" w:id="0">
    <w:p w14:paraId="3340AE2E" w14:textId="77777777" w:rsidR="00D63EA2" w:rsidRDefault="00D63EA2" w:rsidP="00D6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2F7" w14:textId="77777777" w:rsidR="00D63EA2" w:rsidRDefault="00D63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90824"/>
      <w:docPartObj>
        <w:docPartGallery w:val="Watermarks"/>
        <w:docPartUnique/>
      </w:docPartObj>
    </w:sdtPr>
    <w:sdtContent>
      <w:p w14:paraId="31185A50" w14:textId="26DC914D" w:rsidR="00D63EA2" w:rsidRDefault="00D63EA2">
        <w:pPr>
          <w:pStyle w:val="Header"/>
        </w:pPr>
        <w:r>
          <w:rPr>
            <w:noProof/>
          </w:rPr>
          <w:pict w14:anchorId="63B8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423" o:spid="_x0000_s2049" type="#_x0000_t136" style="position:absolute;margin-left:0;margin-top:0;width:479.85pt;height:179.95pt;rotation:315;z-index:-251657216;mso-position-horizontal:center;mso-position-horizontal-relative:margin;mso-position-vertical:center;mso-position-vertical-relative:margin" o:allowincell="f" fillcolor="red" stroked="f">
              <v:fill opacity=".5"/>
              <v:textpath style="font-family:&quot;Calibri&quot;;font-size:1pt" string="RFI Closed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9CDA" w14:textId="77777777" w:rsidR="00D63EA2" w:rsidRDefault="00D63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0BAB"/>
    <w:multiLevelType w:val="multilevel"/>
    <w:tmpl w:val="C2C0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31DE5"/>
    <w:multiLevelType w:val="multilevel"/>
    <w:tmpl w:val="33A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460AF"/>
    <w:multiLevelType w:val="multilevel"/>
    <w:tmpl w:val="B2C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85D0B"/>
    <w:multiLevelType w:val="hybridMultilevel"/>
    <w:tmpl w:val="951E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3149C"/>
    <w:multiLevelType w:val="multilevel"/>
    <w:tmpl w:val="774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63C21"/>
    <w:multiLevelType w:val="multilevel"/>
    <w:tmpl w:val="DF5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028B7"/>
    <w:multiLevelType w:val="multilevel"/>
    <w:tmpl w:val="71E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B57B3"/>
    <w:multiLevelType w:val="multilevel"/>
    <w:tmpl w:val="87C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598465">
    <w:abstractNumId w:val="4"/>
  </w:num>
  <w:num w:numId="2" w16cid:durableId="157811321">
    <w:abstractNumId w:val="2"/>
  </w:num>
  <w:num w:numId="3" w16cid:durableId="1583297424">
    <w:abstractNumId w:val="7"/>
  </w:num>
  <w:num w:numId="4" w16cid:durableId="2024895773">
    <w:abstractNumId w:val="6"/>
  </w:num>
  <w:num w:numId="5" w16cid:durableId="1494486749">
    <w:abstractNumId w:val="1"/>
  </w:num>
  <w:num w:numId="6" w16cid:durableId="1042748153">
    <w:abstractNumId w:val="5"/>
  </w:num>
  <w:num w:numId="7" w16cid:durableId="1775511228">
    <w:abstractNumId w:val="0"/>
  </w:num>
  <w:num w:numId="8" w16cid:durableId="14433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4"/>
    <w:rsid w:val="000003E4"/>
    <w:rsid w:val="00001204"/>
    <w:rsid w:val="00011F08"/>
    <w:rsid w:val="00021DE1"/>
    <w:rsid w:val="00037036"/>
    <w:rsid w:val="00042530"/>
    <w:rsid w:val="00050267"/>
    <w:rsid w:val="00056981"/>
    <w:rsid w:val="00061D79"/>
    <w:rsid w:val="00064042"/>
    <w:rsid w:val="0007162C"/>
    <w:rsid w:val="00080A0E"/>
    <w:rsid w:val="00083198"/>
    <w:rsid w:val="00086845"/>
    <w:rsid w:val="00087F8C"/>
    <w:rsid w:val="000913EC"/>
    <w:rsid w:val="000B10B8"/>
    <w:rsid w:val="000C56D7"/>
    <w:rsid w:val="000F6D15"/>
    <w:rsid w:val="00103CCC"/>
    <w:rsid w:val="00105B07"/>
    <w:rsid w:val="00106620"/>
    <w:rsid w:val="00133082"/>
    <w:rsid w:val="001372E1"/>
    <w:rsid w:val="001540F8"/>
    <w:rsid w:val="0015FCC2"/>
    <w:rsid w:val="00167233"/>
    <w:rsid w:val="0017652A"/>
    <w:rsid w:val="00185E87"/>
    <w:rsid w:val="001A2F27"/>
    <w:rsid w:val="001D1228"/>
    <w:rsid w:val="001E349E"/>
    <w:rsid w:val="0020214A"/>
    <w:rsid w:val="002219BC"/>
    <w:rsid w:val="00236E67"/>
    <w:rsid w:val="00242E07"/>
    <w:rsid w:val="00246BE0"/>
    <w:rsid w:val="002478D7"/>
    <w:rsid w:val="00250C60"/>
    <w:rsid w:val="00254436"/>
    <w:rsid w:val="00257783"/>
    <w:rsid w:val="00262FF6"/>
    <w:rsid w:val="00263827"/>
    <w:rsid w:val="002827CB"/>
    <w:rsid w:val="00284AD1"/>
    <w:rsid w:val="00284D42"/>
    <w:rsid w:val="0029580E"/>
    <w:rsid w:val="00297ED2"/>
    <w:rsid w:val="002A48E9"/>
    <w:rsid w:val="002B0D65"/>
    <w:rsid w:val="002C422A"/>
    <w:rsid w:val="002D2F72"/>
    <w:rsid w:val="002D7776"/>
    <w:rsid w:val="002F1338"/>
    <w:rsid w:val="0031075C"/>
    <w:rsid w:val="0036138F"/>
    <w:rsid w:val="00372DDE"/>
    <w:rsid w:val="0038461B"/>
    <w:rsid w:val="0039139E"/>
    <w:rsid w:val="003918DC"/>
    <w:rsid w:val="003A2DCB"/>
    <w:rsid w:val="003A5E56"/>
    <w:rsid w:val="003A7BF1"/>
    <w:rsid w:val="003C3908"/>
    <w:rsid w:val="0040098B"/>
    <w:rsid w:val="0042497A"/>
    <w:rsid w:val="004320E2"/>
    <w:rsid w:val="0043282A"/>
    <w:rsid w:val="00444642"/>
    <w:rsid w:val="00444978"/>
    <w:rsid w:val="004504C7"/>
    <w:rsid w:val="00451228"/>
    <w:rsid w:val="00453BEB"/>
    <w:rsid w:val="0045439C"/>
    <w:rsid w:val="00456CDB"/>
    <w:rsid w:val="0046142E"/>
    <w:rsid w:val="004664DB"/>
    <w:rsid w:val="00480638"/>
    <w:rsid w:val="004A12A3"/>
    <w:rsid w:val="004A44B1"/>
    <w:rsid w:val="004B2556"/>
    <w:rsid w:val="004C2431"/>
    <w:rsid w:val="004C47BD"/>
    <w:rsid w:val="004C760C"/>
    <w:rsid w:val="004E2827"/>
    <w:rsid w:val="004F39AD"/>
    <w:rsid w:val="004F5C32"/>
    <w:rsid w:val="00505451"/>
    <w:rsid w:val="00506FFA"/>
    <w:rsid w:val="00514314"/>
    <w:rsid w:val="00515537"/>
    <w:rsid w:val="005170B4"/>
    <w:rsid w:val="0052002C"/>
    <w:rsid w:val="00522FE7"/>
    <w:rsid w:val="005319AD"/>
    <w:rsid w:val="005431F0"/>
    <w:rsid w:val="005437B8"/>
    <w:rsid w:val="005549E2"/>
    <w:rsid w:val="00577294"/>
    <w:rsid w:val="00577682"/>
    <w:rsid w:val="00585B15"/>
    <w:rsid w:val="00587D39"/>
    <w:rsid w:val="005A00F7"/>
    <w:rsid w:val="005A31A4"/>
    <w:rsid w:val="005A59BB"/>
    <w:rsid w:val="005A6106"/>
    <w:rsid w:val="005A6291"/>
    <w:rsid w:val="005B71B4"/>
    <w:rsid w:val="005E1923"/>
    <w:rsid w:val="00600BFD"/>
    <w:rsid w:val="006030FD"/>
    <w:rsid w:val="00614F38"/>
    <w:rsid w:val="006256FF"/>
    <w:rsid w:val="006274FC"/>
    <w:rsid w:val="00630760"/>
    <w:rsid w:val="006313A8"/>
    <w:rsid w:val="006322A8"/>
    <w:rsid w:val="006374F9"/>
    <w:rsid w:val="006405A1"/>
    <w:rsid w:val="006438B9"/>
    <w:rsid w:val="00647B83"/>
    <w:rsid w:val="0065794C"/>
    <w:rsid w:val="00657C6E"/>
    <w:rsid w:val="00661CB8"/>
    <w:rsid w:val="00662E01"/>
    <w:rsid w:val="00664B32"/>
    <w:rsid w:val="00665811"/>
    <w:rsid w:val="00667224"/>
    <w:rsid w:val="00667C6F"/>
    <w:rsid w:val="00676D49"/>
    <w:rsid w:val="00683472"/>
    <w:rsid w:val="00683B93"/>
    <w:rsid w:val="006A3F5C"/>
    <w:rsid w:val="006A7DF0"/>
    <w:rsid w:val="006C0A0C"/>
    <w:rsid w:val="006C2905"/>
    <w:rsid w:val="006D40F8"/>
    <w:rsid w:val="006F241C"/>
    <w:rsid w:val="007072D8"/>
    <w:rsid w:val="00724791"/>
    <w:rsid w:val="00725AB1"/>
    <w:rsid w:val="007557BD"/>
    <w:rsid w:val="007558A2"/>
    <w:rsid w:val="00762310"/>
    <w:rsid w:val="00763353"/>
    <w:rsid w:val="007714F2"/>
    <w:rsid w:val="0077225F"/>
    <w:rsid w:val="007805C9"/>
    <w:rsid w:val="007818E0"/>
    <w:rsid w:val="007A12CA"/>
    <w:rsid w:val="007A2ABA"/>
    <w:rsid w:val="007A667B"/>
    <w:rsid w:val="007D0014"/>
    <w:rsid w:val="007D60B3"/>
    <w:rsid w:val="007D6A7F"/>
    <w:rsid w:val="007D75FA"/>
    <w:rsid w:val="00822E36"/>
    <w:rsid w:val="0084009A"/>
    <w:rsid w:val="00843F1A"/>
    <w:rsid w:val="00846C50"/>
    <w:rsid w:val="00875390"/>
    <w:rsid w:val="00886C88"/>
    <w:rsid w:val="00893866"/>
    <w:rsid w:val="00893A8D"/>
    <w:rsid w:val="00896896"/>
    <w:rsid w:val="008B1653"/>
    <w:rsid w:val="008B7C12"/>
    <w:rsid w:val="008C46E4"/>
    <w:rsid w:val="008E1BB0"/>
    <w:rsid w:val="008E4EF3"/>
    <w:rsid w:val="009018A3"/>
    <w:rsid w:val="00901B6A"/>
    <w:rsid w:val="0092587C"/>
    <w:rsid w:val="00976593"/>
    <w:rsid w:val="009770E7"/>
    <w:rsid w:val="00987ED4"/>
    <w:rsid w:val="009B70BC"/>
    <w:rsid w:val="009C2219"/>
    <w:rsid w:val="009D225B"/>
    <w:rsid w:val="009E1113"/>
    <w:rsid w:val="009E20E8"/>
    <w:rsid w:val="009F17D1"/>
    <w:rsid w:val="009F434F"/>
    <w:rsid w:val="00A00749"/>
    <w:rsid w:val="00A14337"/>
    <w:rsid w:val="00A230BB"/>
    <w:rsid w:val="00A23205"/>
    <w:rsid w:val="00A27FD7"/>
    <w:rsid w:val="00A303F8"/>
    <w:rsid w:val="00A45B1E"/>
    <w:rsid w:val="00A6084E"/>
    <w:rsid w:val="00A74145"/>
    <w:rsid w:val="00A74335"/>
    <w:rsid w:val="00A7784C"/>
    <w:rsid w:val="00A80F15"/>
    <w:rsid w:val="00A83158"/>
    <w:rsid w:val="00A87D89"/>
    <w:rsid w:val="00A90A18"/>
    <w:rsid w:val="00A92436"/>
    <w:rsid w:val="00A94B79"/>
    <w:rsid w:val="00A94D11"/>
    <w:rsid w:val="00AB536E"/>
    <w:rsid w:val="00AC3251"/>
    <w:rsid w:val="00AD0CCE"/>
    <w:rsid w:val="00AD3512"/>
    <w:rsid w:val="00AE6C95"/>
    <w:rsid w:val="00B02B4C"/>
    <w:rsid w:val="00B06DDE"/>
    <w:rsid w:val="00B221A8"/>
    <w:rsid w:val="00B47BFB"/>
    <w:rsid w:val="00B507DF"/>
    <w:rsid w:val="00B70ACA"/>
    <w:rsid w:val="00B72334"/>
    <w:rsid w:val="00B74758"/>
    <w:rsid w:val="00B92B69"/>
    <w:rsid w:val="00BA0D75"/>
    <w:rsid w:val="00BA66BF"/>
    <w:rsid w:val="00BB357A"/>
    <w:rsid w:val="00BC424F"/>
    <w:rsid w:val="00BC57C9"/>
    <w:rsid w:val="00BD69C8"/>
    <w:rsid w:val="00BE0F0D"/>
    <w:rsid w:val="00BE3E35"/>
    <w:rsid w:val="00BF1E4F"/>
    <w:rsid w:val="00C04B4A"/>
    <w:rsid w:val="00C065BB"/>
    <w:rsid w:val="00C168A2"/>
    <w:rsid w:val="00C171FC"/>
    <w:rsid w:val="00C2183C"/>
    <w:rsid w:val="00C2416C"/>
    <w:rsid w:val="00C25A62"/>
    <w:rsid w:val="00C5451F"/>
    <w:rsid w:val="00C60549"/>
    <w:rsid w:val="00C773C0"/>
    <w:rsid w:val="00C80744"/>
    <w:rsid w:val="00C912EB"/>
    <w:rsid w:val="00CA4284"/>
    <w:rsid w:val="00CB43CA"/>
    <w:rsid w:val="00CE2031"/>
    <w:rsid w:val="00CF303F"/>
    <w:rsid w:val="00CF67C1"/>
    <w:rsid w:val="00D14773"/>
    <w:rsid w:val="00D15B18"/>
    <w:rsid w:val="00D172A4"/>
    <w:rsid w:val="00D216C8"/>
    <w:rsid w:val="00D21FE4"/>
    <w:rsid w:val="00D54EF2"/>
    <w:rsid w:val="00D63EA2"/>
    <w:rsid w:val="00D7741B"/>
    <w:rsid w:val="00D801E2"/>
    <w:rsid w:val="00D817F0"/>
    <w:rsid w:val="00D850D7"/>
    <w:rsid w:val="00D94627"/>
    <w:rsid w:val="00DB15EE"/>
    <w:rsid w:val="00DC2C98"/>
    <w:rsid w:val="00DC490B"/>
    <w:rsid w:val="00DD42FD"/>
    <w:rsid w:val="00DD484A"/>
    <w:rsid w:val="00DE0445"/>
    <w:rsid w:val="00E01063"/>
    <w:rsid w:val="00E051C3"/>
    <w:rsid w:val="00E11878"/>
    <w:rsid w:val="00E12EF8"/>
    <w:rsid w:val="00E15D4D"/>
    <w:rsid w:val="00E16E49"/>
    <w:rsid w:val="00E217CB"/>
    <w:rsid w:val="00E27AA9"/>
    <w:rsid w:val="00E3583A"/>
    <w:rsid w:val="00E40F98"/>
    <w:rsid w:val="00E44F42"/>
    <w:rsid w:val="00E82B53"/>
    <w:rsid w:val="00E9343D"/>
    <w:rsid w:val="00E9704D"/>
    <w:rsid w:val="00E973D6"/>
    <w:rsid w:val="00EC51B2"/>
    <w:rsid w:val="00EC7634"/>
    <w:rsid w:val="00ED73B0"/>
    <w:rsid w:val="00EE0170"/>
    <w:rsid w:val="00F04FAE"/>
    <w:rsid w:val="00F05059"/>
    <w:rsid w:val="00F4032A"/>
    <w:rsid w:val="00F51A84"/>
    <w:rsid w:val="00F6341D"/>
    <w:rsid w:val="00F76443"/>
    <w:rsid w:val="00F77167"/>
    <w:rsid w:val="00F81FD7"/>
    <w:rsid w:val="00F96CE4"/>
    <w:rsid w:val="00FB1A47"/>
    <w:rsid w:val="00FE05AF"/>
    <w:rsid w:val="00FE2196"/>
    <w:rsid w:val="0202B360"/>
    <w:rsid w:val="022F1523"/>
    <w:rsid w:val="0261B850"/>
    <w:rsid w:val="027BE25D"/>
    <w:rsid w:val="095E9423"/>
    <w:rsid w:val="0A551EE1"/>
    <w:rsid w:val="0AFD7215"/>
    <w:rsid w:val="0ECA18DA"/>
    <w:rsid w:val="0EF4AFAD"/>
    <w:rsid w:val="1093969F"/>
    <w:rsid w:val="10CF2B6E"/>
    <w:rsid w:val="116D140A"/>
    <w:rsid w:val="11F91FB9"/>
    <w:rsid w:val="139DBD2F"/>
    <w:rsid w:val="13FE25BA"/>
    <w:rsid w:val="140B323C"/>
    <w:rsid w:val="14ACE8EE"/>
    <w:rsid w:val="15E0DB45"/>
    <w:rsid w:val="16DCC4D0"/>
    <w:rsid w:val="1784C08F"/>
    <w:rsid w:val="1788CFD4"/>
    <w:rsid w:val="18D66FAF"/>
    <w:rsid w:val="1DBB26DC"/>
    <w:rsid w:val="20DACA86"/>
    <w:rsid w:val="2366D9D8"/>
    <w:rsid w:val="2663C699"/>
    <w:rsid w:val="2682D9B0"/>
    <w:rsid w:val="26BCA47E"/>
    <w:rsid w:val="26F5E650"/>
    <w:rsid w:val="2AE08D10"/>
    <w:rsid w:val="2AF21355"/>
    <w:rsid w:val="2CD4AE6C"/>
    <w:rsid w:val="2DB0FD74"/>
    <w:rsid w:val="2E52AFAB"/>
    <w:rsid w:val="2E7956BF"/>
    <w:rsid w:val="2F817AE8"/>
    <w:rsid w:val="30BC1942"/>
    <w:rsid w:val="34190109"/>
    <w:rsid w:val="36F30217"/>
    <w:rsid w:val="37628666"/>
    <w:rsid w:val="39AB0A3F"/>
    <w:rsid w:val="3CB724B9"/>
    <w:rsid w:val="3CDC7461"/>
    <w:rsid w:val="40F0BF3D"/>
    <w:rsid w:val="413845BF"/>
    <w:rsid w:val="48620687"/>
    <w:rsid w:val="499F256C"/>
    <w:rsid w:val="4B3090DD"/>
    <w:rsid w:val="50B5DA78"/>
    <w:rsid w:val="52D63197"/>
    <w:rsid w:val="54BCD688"/>
    <w:rsid w:val="54BD18F9"/>
    <w:rsid w:val="5550181F"/>
    <w:rsid w:val="55A2AEB7"/>
    <w:rsid w:val="55DFD384"/>
    <w:rsid w:val="570FDAFF"/>
    <w:rsid w:val="5841D789"/>
    <w:rsid w:val="585DE564"/>
    <w:rsid w:val="5A28C0EC"/>
    <w:rsid w:val="5D0CA8A8"/>
    <w:rsid w:val="5D357552"/>
    <w:rsid w:val="5E321032"/>
    <w:rsid w:val="60746BA4"/>
    <w:rsid w:val="60B13A6B"/>
    <w:rsid w:val="63ADC4A9"/>
    <w:rsid w:val="641C61E2"/>
    <w:rsid w:val="659206F0"/>
    <w:rsid w:val="680E646E"/>
    <w:rsid w:val="68C6456D"/>
    <w:rsid w:val="7372E785"/>
    <w:rsid w:val="73C1563A"/>
    <w:rsid w:val="743D9F89"/>
    <w:rsid w:val="749B7CF0"/>
    <w:rsid w:val="7579F75D"/>
    <w:rsid w:val="78BCEF82"/>
    <w:rsid w:val="7966EF1A"/>
    <w:rsid w:val="79730BB0"/>
    <w:rsid w:val="7A265C4F"/>
    <w:rsid w:val="7BF1ECA8"/>
    <w:rsid w:val="7C39A9D9"/>
    <w:rsid w:val="7D76C7B2"/>
    <w:rsid w:val="7FB79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DB5CA0"/>
  <w15:chartTrackingRefBased/>
  <w15:docId w15:val="{2B2296FF-8A18-4F7A-A425-6A747C9A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A84"/>
    <w:rPr>
      <w:rFonts w:eastAsiaTheme="majorEastAsia" w:cstheme="majorBidi"/>
      <w:color w:val="272727" w:themeColor="text1" w:themeTint="D8"/>
    </w:rPr>
  </w:style>
  <w:style w:type="paragraph" w:styleId="Title">
    <w:name w:val="Title"/>
    <w:basedOn w:val="Normal"/>
    <w:next w:val="Normal"/>
    <w:link w:val="TitleChar"/>
    <w:uiPriority w:val="10"/>
    <w:qFormat/>
    <w:rsid w:val="00F5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A84"/>
    <w:pPr>
      <w:spacing w:before="160"/>
      <w:jc w:val="center"/>
    </w:pPr>
    <w:rPr>
      <w:i/>
      <w:iCs/>
      <w:color w:val="404040" w:themeColor="text1" w:themeTint="BF"/>
    </w:rPr>
  </w:style>
  <w:style w:type="character" w:customStyle="1" w:styleId="QuoteChar">
    <w:name w:val="Quote Char"/>
    <w:basedOn w:val="DefaultParagraphFont"/>
    <w:link w:val="Quote"/>
    <w:uiPriority w:val="29"/>
    <w:rsid w:val="00F51A84"/>
    <w:rPr>
      <w:i/>
      <w:iCs/>
      <w:color w:val="404040" w:themeColor="text1" w:themeTint="BF"/>
    </w:rPr>
  </w:style>
  <w:style w:type="paragraph" w:styleId="ListParagraph">
    <w:name w:val="List Paragraph"/>
    <w:basedOn w:val="Normal"/>
    <w:uiPriority w:val="34"/>
    <w:qFormat/>
    <w:rsid w:val="00F51A84"/>
    <w:pPr>
      <w:ind w:left="720"/>
      <w:contextualSpacing/>
    </w:pPr>
  </w:style>
  <w:style w:type="character" w:styleId="IntenseEmphasis">
    <w:name w:val="Intense Emphasis"/>
    <w:basedOn w:val="DefaultParagraphFont"/>
    <w:uiPriority w:val="21"/>
    <w:qFormat/>
    <w:rsid w:val="00F51A84"/>
    <w:rPr>
      <w:i/>
      <w:iCs/>
      <w:color w:val="0F4761" w:themeColor="accent1" w:themeShade="BF"/>
    </w:rPr>
  </w:style>
  <w:style w:type="paragraph" w:styleId="IntenseQuote">
    <w:name w:val="Intense Quote"/>
    <w:basedOn w:val="Normal"/>
    <w:next w:val="Normal"/>
    <w:link w:val="IntenseQuoteChar"/>
    <w:uiPriority w:val="30"/>
    <w:qFormat/>
    <w:rsid w:val="00F51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A84"/>
    <w:rPr>
      <w:i/>
      <w:iCs/>
      <w:color w:val="0F4761" w:themeColor="accent1" w:themeShade="BF"/>
    </w:rPr>
  </w:style>
  <w:style w:type="character" w:styleId="IntenseReference">
    <w:name w:val="Intense Reference"/>
    <w:basedOn w:val="DefaultParagraphFont"/>
    <w:uiPriority w:val="32"/>
    <w:qFormat/>
    <w:rsid w:val="00F51A84"/>
    <w:rPr>
      <w:b/>
      <w:bCs/>
      <w:smallCaps/>
      <w:color w:val="0F4761" w:themeColor="accent1" w:themeShade="BF"/>
      <w:spacing w:val="5"/>
    </w:rPr>
  </w:style>
  <w:style w:type="paragraph" w:styleId="CommentText">
    <w:name w:val="annotation text"/>
    <w:basedOn w:val="Normal"/>
    <w:link w:val="CommentTextChar"/>
    <w:uiPriority w:val="99"/>
    <w:unhideWhenUsed/>
    <w:rsid w:val="00D7741B"/>
    <w:pPr>
      <w:spacing w:line="240" w:lineRule="auto"/>
    </w:pPr>
    <w:rPr>
      <w:sz w:val="20"/>
      <w:szCs w:val="20"/>
    </w:rPr>
  </w:style>
  <w:style w:type="character" w:customStyle="1" w:styleId="CommentTextChar">
    <w:name w:val="Comment Text Char"/>
    <w:basedOn w:val="DefaultParagraphFont"/>
    <w:link w:val="CommentText"/>
    <w:uiPriority w:val="99"/>
    <w:rsid w:val="00D7741B"/>
    <w:rPr>
      <w:sz w:val="20"/>
      <w:szCs w:val="20"/>
    </w:rPr>
  </w:style>
  <w:style w:type="character" w:styleId="CommentReference">
    <w:name w:val="annotation reference"/>
    <w:basedOn w:val="DefaultParagraphFont"/>
    <w:uiPriority w:val="99"/>
    <w:semiHidden/>
    <w:unhideWhenUsed/>
    <w:rsid w:val="00D7741B"/>
    <w:rPr>
      <w:sz w:val="16"/>
      <w:szCs w:val="16"/>
    </w:rPr>
  </w:style>
  <w:style w:type="paragraph" w:styleId="CommentSubject">
    <w:name w:val="annotation subject"/>
    <w:basedOn w:val="CommentText"/>
    <w:next w:val="CommentText"/>
    <w:link w:val="CommentSubjectChar"/>
    <w:uiPriority w:val="99"/>
    <w:semiHidden/>
    <w:unhideWhenUsed/>
    <w:rsid w:val="00E217CB"/>
    <w:rPr>
      <w:b/>
      <w:bCs/>
    </w:rPr>
  </w:style>
  <w:style w:type="character" w:customStyle="1" w:styleId="CommentSubjectChar">
    <w:name w:val="Comment Subject Char"/>
    <w:basedOn w:val="CommentTextChar"/>
    <w:link w:val="CommentSubject"/>
    <w:uiPriority w:val="99"/>
    <w:semiHidden/>
    <w:rsid w:val="00E217CB"/>
    <w:rPr>
      <w:b/>
      <w:bCs/>
      <w:sz w:val="20"/>
      <w:szCs w:val="20"/>
    </w:rPr>
  </w:style>
  <w:style w:type="paragraph" w:styleId="Revision">
    <w:name w:val="Revision"/>
    <w:hidden/>
    <w:uiPriority w:val="99"/>
    <w:semiHidden/>
    <w:rsid w:val="00D94627"/>
    <w:pPr>
      <w:spacing w:after="0" w:line="240" w:lineRule="auto"/>
    </w:pPr>
  </w:style>
  <w:style w:type="character" w:styleId="Hyperlink">
    <w:name w:val="Hyperlink"/>
    <w:basedOn w:val="DefaultParagraphFont"/>
    <w:uiPriority w:val="99"/>
    <w:unhideWhenUsed/>
    <w:rsid w:val="006D40F8"/>
    <w:rPr>
      <w:color w:val="467886" w:themeColor="hyperlink"/>
      <w:u w:val="single"/>
    </w:rPr>
  </w:style>
  <w:style w:type="character" w:styleId="UnresolvedMention">
    <w:name w:val="Unresolved Mention"/>
    <w:basedOn w:val="DefaultParagraphFont"/>
    <w:uiPriority w:val="99"/>
    <w:semiHidden/>
    <w:unhideWhenUsed/>
    <w:rsid w:val="006D40F8"/>
    <w:rPr>
      <w:color w:val="605E5C"/>
      <w:shd w:val="clear" w:color="auto" w:fill="E1DFDD"/>
    </w:rPr>
  </w:style>
  <w:style w:type="paragraph" w:styleId="Header">
    <w:name w:val="header"/>
    <w:basedOn w:val="Normal"/>
    <w:link w:val="HeaderChar"/>
    <w:uiPriority w:val="99"/>
    <w:unhideWhenUsed/>
    <w:rsid w:val="00D6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A2"/>
  </w:style>
  <w:style w:type="paragraph" w:styleId="Footer">
    <w:name w:val="footer"/>
    <w:basedOn w:val="Normal"/>
    <w:link w:val="FooterChar"/>
    <w:uiPriority w:val="99"/>
    <w:unhideWhenUsed/>
    <w:rsid w:val="00D6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MW5ECUTY3FKA-1527589740-25554</_dlc_DocId>
    <_dlc_DocIdUrl xmlns="af82ecbd-a39c-43aa-8b3d-43b91785888a">
      <Url>https://aticloud.sharepoint.us/sites/MTCD/_layouts/15/DocIdRedir.aspx?ID=MW5ECUTY3FKA-1527589740-25554</Url>
      <Description>MW5ECUTY3FKA-1527589740-25554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B52AD-872B-4790-9EBB-AE9D3868B39B}">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2.xml><?xml version="1.0" encoding="utf-8"?>
<ds:datastoreItem xmlns:ds="http://schemas.openxmlformats.org/officeDocument/2006/customXml" ds:itemID="{10BF10EA-C922-499F-8CCD-8EBAB084295A}">
  <ds:schemaRefs>
    <ds:schemaRef ds:uri="http://schemas.microsoft.com/sharepoint/events"/>
  </ds:schemaRefs>
</ds:datastoreItem>
</file>

<file path=customXml/itemProps3.xml><?xml version="1.0" encoding="utf-8"?>
<ds:datastoreItem xmlns:ds="http://schemas.openxmlformats.org/officeDocument/2006/customXml" ds:itemID="{FC5F3C64-A9CC-4B7D-AE52-ACDF1AD0DD94}">
  <ds:schemaRefs>
    <ds:schemaRef ds:uri="http://schemas.microsoft.com/sharepoint/v3/contenttype/forms"/>
  </ds:schemaRefs>
</ds:datastoreItem>
</file>

<file path=customXml/itemProps4.xml><?xml version="1.0" encoding="utf-8"?>
<ds:datastoreItem xmlns:ds="http://schemas.openxmlformats.org/officeDocument/2006/customXml" ds:itemID="{88FB37E2-9E02-4F14-9C3A-2ED1DC3B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 Tahar (ASPR/BARDA)</dc:creator>
  <cp:keywords/>
  <dc:description/>
  <cp:lastModifiedBy>Stokes, Kathryn</cp:lastModifiedBy>
  <cp:revision>2</cp:revision>
  <dcterms:created xsi:type="dcterms:W3CDTF">2026-05-11T17:07:00Z</dcterms:created>
  <dcterms:modified xsi:type="dcterms:W3CDTF">2026-05-11T17:07:00Z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0x0101009AE558D54B95A046B739A3D65A2F66A3</vt:lpwstr>
  </property>
  <property fmtid="{D5CDD505-2E9C-101B-9397-08002B2CF9AE}" pid="4" name="_dlc_DocIdItemGuid">
    <vt:lpwstr>d134592d-6b57-4b02-8475-a0db7815c013</vt:lpwstr>
  </property>
  <property fmtid="{D5CDD505-2E9C-101B-9397-08002B2CF9AE}" pid="5" name="TaxCatchAll">
    <vt:lpwstr/>
  </property>
</Properties>
</file>