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6210"/>
        <w:gridCol w:w="6030"/>
      </w:tblGrid>
      <w:tr w:rsidR="00CB7330" w:rsidRPr="002430BB" w14:paraId="69EBCB0D" w14:textId="77777777" w:rsidTr="00F50F69">
        <w:trPr>
          <w:trHeight w:val="290"/>
          <w:jc w:val="center"/>
        </w:trPr>
        <w:tc>
          <w:tcPr>
            <w:tcW w:w="13585" w:type="dxa"/>
            <w:gridSpan w:val="3"/>
            <w:shd w:val="clear" w:color="auto" w:fill="FFC000"/>
            <w:vAlign w:val="center"/>
            <w:hideMark/>
          </w:tcPr>
          <w:p w14:paraId="6737FCD8" w14:textId="7ABEB4B3" w:rsidR="00CB7330" w:rsidRPr="002430BB" w:rsidRDefault="00CB7330" w:rsidP="00F50F69">
            <w:pPr>
              <w:spacing w:after="0" w:line="240" w:lineRule="auto"/>
              <w:ind w:right="3222"/>
              <w:rPr>
                <w:rFonts w:eastAsia="Times New Roman" w:cs="Arial"/>
                <w:color w:val="000000"/>
                <w:kern w:val="0"/>
                <w14:ligatures w14:val="none"/>
              </w:rPr>
            </w:pPr>
            <w:r w:rsidRPr="002430BB">
              <w:rPr>
                <w:rFonts w:eastAsia="Times New Roman" w:cs="Arial"/>
                <w:color w:val="000000"/>
                <w:kern w:val="0"/>
                <w14:ligatures w14:val="none"/>
              </w:rPr>
              <w:t xml:space="preserve">Updated </w:t>
            </w:r>
            <w:r w:rsidR="00AD34BE">
              <w:rPr>
                <w:rFonts w:eastAsia="Times New Roman" w:cs="Arial"/>
                <w:color w:val="000000"/>
                <w:kern w:val="0"/>
                <w14:ligatures w14:val="none"/>
              </w:rPr>
              <w:t>05/06</w:t>
            </w:r>
            <w:r w:rsidRPr="002430BB">
              <w:rPr>
                <w:rFonts w:eastAsia="Times New Roman" w:cs="Arial"/>
                <w:color w:val="000000"/>
                <w:kern w:val="0"/>
                <w14:ligatures w14:val="none"/>
              </w:rPr>
              <w:t>/2026</w:t>
            </w:r>
          </w:p>
        </w:tc>
      </w:tr>
      <w:tr w:rsidR="00CB7330" w:rsidRPr="002430BB" w14:paraId="63B71367" w14:textId="77777777" w:rsidTr="00F50F69">
        <w:trPr>
          <w:trHeight w:val="290"/>
          <w:jc w:val="center"/>
        </w:trPr>
        <w:tc>
          <w:tcPr>
            <w:tcW w:w="1345" w:type="dxa"/>
            <w:vAlign w:val="center"/>
            <w:hideMark/>
          </w:tcPr>
          <w:p w14:paraId="15D990BC" w14:textId="77777777" w:rsidR="00CB7330" w:rsidRPr="002430BB" w:rsidRDefault="00CB7330" w:rsidP="00F50F69">
            <w:pPr>
              <w:spacing w:after="0" w:line="240" w:lineRule="auto"/>
              <w:jc w:val="center"/>
              <w:rPr>
                <w:rFonts w:eastAsia="Times New Roman" w:cs="Arial"/>
                <w:b/>
                <w:bCs/>
                <w:color w:val="000000"/>
                <w:kern w:val="0"/>
                <w14:ligatures w14:val="none"/>
              </w:rPr>
            </w:pPr>
            <w:r w:rsidRPr="002430BB">
              <w:rPr>
                <w:rFonts w:eastAsia="Times New Roman" w:cs="Arial"/>
                <w:b/>
                <w:bCs/>
                <w:color w:val="000000"/>
                <w:kern w:val="0"/>
                <w14:ligatures w14:val="none"/>
              </w:rPr>
              <w:t>Question #</w:t>
            </w:r>
          </w:p>
        </w:tc>
        <w:tc>
          <w:tcPr>
            <w:tcW w:w="6210" w:type="dxa"/>
            <w:vAlign w:val="center"/>
            <w:hideMark/>
          </w:tcPr>
          <w:p w14:paraId="56923C0F" w14:textId="77777777" w:rsidR="00CB7330" w:rsidRPr="002430BB" w:rsidRDefault="00CB7330" w:rsidP="00F50F69">
            <w:pPr>
              <w:spacing w:after="0" w:line="240" w:lineRule="auto"/>
              <w:rPr>
                <w:rFonts w:eastAsia="Times New Roman" w:cs="Arial"/>
                <w:b/>
                <w:bCs/>
                <w:color w:val="000000"/>
                <w:kern w:val="0"/>
                <w14:ligatures w14:val="none"/>
              </w:rPr>
            </w:pPr>
            <w:r w:rsidRPr="002430BB">
              <w:rPr>
                <w:rFonts w:eastAsia="Times New Roman" w:cs="Arial"/>
                <w:b/>
                <w:bCs/>
                <w:color w:val="000000"/>
                <w:kern w:val="0"/>
                <w14:ligatures w14:val="none"/>
              </w:rPr>
              <w:t>Question</w:t>
            </w:r>
          </w:p>
        </w:tc>
        <w:tc>
          <w:tcPr>
            <w:tcW w:w="6030" w:type="dxa"/>
            <w:vAlign w:val="center"/>
            <w:hideMark/>
          </w:tcPr>
          <w:p w14:paraId="4316FB64" w14:textId="77777777" w:rsidR="00CB7330" w:rsidRPr="002430BB" w:rsidRDefault="00CB7330" w:rsidP="00F50F69">
            <w:pPr>
              <w:spacing w:after="0" w:line="240" w:lineRule="auto"/>
              <w:ind w:right="101"/>
              <w:rPr>
                <w:rFonts w:eastAsia="Times New Roman" w:cs="Arial"/>
                <w:b/>
                <w:bCs/>
                <w:color w:val="000000"/>
                <w:kern w:val="0"/>
                <w14:ligatures w14:val="none"/>
              </w:rPr>
            </w:pPr>
            <w:r w:rsidRPr="002430BB">
              <w:rPr>
                <w:rFonts w:eastAsia="Times New Roman" w:cs="Arial"/>
                <w:b/>
                <w:bCs/>
                <w:color w:val="000000"/>
                <w:kern w:val="0"/>
                <w14:ligatures w14:val="none"/>
              </w:rPr>
              <w:t>Response</w:t>
            </w:r>
          </w:p>
        </w:tc>
      </w:tr>
      <w:tr w:rsidR="00CB7330" w:rsidRPr="002430BB" w14:paraId="5A13B760" w14:textId="77777777" w:rsidTr="00AD34BE">
        <w:trPr>
          <w:trHeight w:val="979"/>
          <w:jc w:val="center"/>
        </w:trPr>
        <w:tc>
          <w:tcPr>
            <w:tcW w:w="1345" w:type="dxa"/>
            <w:shd w:val="clear" w:color="auto" w:fill="D0CECE" w:themeFill="background2" w:themeFillShade="E6"/>
            <w:vAlign w:val="center"/>
            <w:hideMark/>
          </w:tcPr>
          <w:p w14:paraId="01703BBA"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1</w:t>
            </w:r>
          </w:p>
        </w:tc>
        <w:tc>
          <w:tcPr>
            <w:tcW w:w="6210" w:type="dxa"/>
          </w:tcPr>
          <w:p w14:paraId="49AFF1DC" w14:textId="77777777" w:rsidR="00CB7330" w:rsidRPr="002430BB" w:rsidRDefault="00CB7330" w:rsidP="00F50F69">
            <w:pPr>
              <w:spacing w:after="0" w:line="240" w:lineRule="auto"/>
              <w:rPr>
                <w:rFonts w:eastAsia="Times New Roman" w:cs="Arial"/>
                <w:color w:val="000000"/>
                <w:kern w:val="0"/>
                <w14:ligatures w14:val="none"/>
              </w:rPr>
            </w:pPr>
            <w:r w:rsidRPr="002430BB">
              <w:rPr>
                <w:rFonts w:eastAsia="Times New Roman" w:cs="Arial"/>
                <w:color w:val="000000"/>
                <w:kern w:val="0"/>
                <w14:ligatures w14:val="none"/>
              </w:rPr>
              <w:t>In a scenario where a facility is leased and used solely as infrastructure (i.e., with no personnel or technical contributions from the facility provider), is it required that the facility owner/operator be an RRPV member?</w:t>
            </w:r>
          </w:p>
        </w:tc>
        <w:tc>
          <w:tcPr>
            <w:tcW w:w="6030" w:type="dxa"/>
          </w:tcPr>
          <w:p w14:paraId="7DDE73F7" w14:textId="77777777" w:rsidR="00CB7330" w:rsidRPr="002430BB" w:rsidRDefault="00CB7330" w:rsidP="00F50F69">
            <w:pPr>
              <w:spacing w:after="0" w:line="240" w:lineRule="auto"/>
              <w:ind w:right="101"/>
              <w:rPr>
                <w:rFonts w:eastAsia="Times New Roman" w:cs="Arial"/>
                <w:color w:val="000000"/>
                <w:kern w:val="0"/>
                <w14:ligatures w14:val="none"/>
              </w:rPr>
            </w:pPr>
            <w:r w:rsidRPr="002430BB">
              <w:rPr>
                <w:rFonts w:eastAsia="Times New Roman" w:cs="Arial"/>
                <w:color w:val="000000"/>
                <w:kern w:val="0"/>
                <w14:ligatures w14:val="none"/>
              </w:rPr>
              <w:t>No, RRPV membership would not be required for the facility owner/operator.</w:t>
            </w:r>
          </w:p>
        </w:tc>
      </w:tr>
      <w:tr w:rsidR="00CB7330" w:rsidRPr="002430BB" w14:paraId="232031EB" w14:textId="77777777" w:rsidTr="00AD34BE">
        <w:trPr>
          <w:trHeight w:val="979"/>
          <w:jc w:val="center"/>
        </w:trPr>
        <w:tc>
          <w:tcPr>
            <w:tcW w:w="1345" w:type="dxa"/>
            <w:shd w:val="clear" w:color="auto" w:fill="D0CECE" w:themeFill="background2" w:themeFillShade="E6"/>
            <w:vAlign w:val="center"/>
            <w:hideMark/>
          </w:tcPr>
          <w:p w14:paraId="416EC666"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2</w:t>
            </w:r>
          </w:p>
        </w:tc>
        <w:tc>
          <w:tcPr>
            <w:tcW w:w="6210" w:type="dxa"/>
          </w:tcPr>
          <w:p w14:paraId="51BE1FCE" w14:textId="77777777" w:rsidR="00CB7330" w:rsidRPr="002430BB" w:rsidRDefault="00CB7330" w:rsidP="00F50F69">
            <w:pPr>
              <w:spacing w:after="0" w:line="240" w:lineRule="auto"/>
              <w:rPr>
                <w:rFonts w:eastAsia="Times New Roman" w:cs="Arial"/>
                <w:color w:val="000000"/>
                <w:kern w:val="0"/>
                <w14:ligatures w14:val="none"/>
              </w:rPr>
            </w:pPr>
            <w:r w:rsidRPr="002430BB">
              <w:rPr>
                <w:rFonts w:eastAsia="Times New Roman" w:cs="Arial"/>
                <w:color w:val="000000"/>
                <w:kern w:val="0"/>
                <w14:ligatures w14:val="none"/>
              </w:rPr>
              <w:t>Does the use of shared equipment within such a facility, without involvement from the facility’s personnel, change this requirement?</w:t>
            </w:r>
          </w:p>
        </w:tc>
        <w:tc>
          <w:tcPr>
            <w:tcW w:w="6030" w:type="dxa"/>
          </w:tcPr>
          <w:p w14:paraId="05D6F922" w14:textId="77777777" w:rsidR="00CB7330" w:rsidRPr="002430BB" w:rsidRDefault="00CB7330" w:rsidP="00F50F69">
            <w:pPr>
              <w:spacing w:after="0" w:line="240" w:lineRule="auto"/>
              <w:ind w:right="101"/>
              <w:rPr>
                <w:rFonts w:eastAsia="Times New Roman" w:cs="Arial"/>
                <w:color w:val="000000"/>
                <w:kern w:val="0"/>
                <w14:ligatures w14:val="none"/>
              </w:rPr>
            </w:pPr>
            <w:r w:rsidRPr="002430BB">
              <w:rPr>
                <w:rFonts w:eastAsia="Times New Roman" w:cs="Arial"/>
                <w:color w:val="000000"/>
                <w:kern w:val="0"/>
                <w14:ligatures w14:val="none"/>
              </w:rPr>
              <w:t>No, this would not change the requirement.</w:t>
            </w:r>
            <w:r>
              <w:rPr>
                <w:rFonts w:eastAsia="Times New Roman" w:cs="Arial"/>
                <w:color w:val="000000"/>
                <w:kern w:val="0"/>
                <w14:ligatures w14:val="none"/>
              </w:rPr>
              <w:t xml:space="preserve"> </w:t>
            </w:r>
          </w:p>
        </w:tc>
      </w:tr>
      <w:tr w:rsidR="00CB7330" w:rsidRPr="002430BB" w14:paraId="05371D5A" w14:textId="77777777" w:rsidTr="00AD34BE">
        <w:trPr>
          <w:trHeight w:val="979"/>
          <w:jc w:val="center"/>
        </w:trPr>
        <w:tc>
          <w:tcPr>
            <w:tcW w:w="1345" w:type="dxa"/>
            <w:shd w:val="clear" w:color="auto" w:fill="D0CECE" w:themeFill="background2" w:themeFillShade="E6"/>
            <w:vAlign w:val="center"/>
            <w:hideMark/>
          </w:tcPr>
          <w:p w14:paraId="2527D06D"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3</w:t>
            </w:r>
          </w:p>
        </w:tc>
        <w:tc>
          <w:tcPr>
            <w:tcW w:w="6210" w:type="dxa"/>
          </w:tcPr>
          <w:p w14:paraId="0373A717"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While manufacturability and sequence transfer is clearly important based on the RPP, how important is actual manufacturing capability within the contract? Should proposers have GMP facilities or have a partner with GMP facilities?</w:t>
            </w:r>
          </w:p>
        </w:tc>
        <w:tc>
          <w:tcPr>
            <w:tcW w:w="6030" w:type="dxa"/>
          </w:tcPr>
          <w:p w14:paraId="06DDC765" w14:textId="77777777" w:rsidR="00CB7330" w:rsidRPr="002430BB" w:rsidRDefault="00CB7330" w:rsidP="00F50F69">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Existing GMP manufacturing capabilities are not a requirement of the RPP but could be a strength. Offerors without these capabilities should address path to GMP production.</w:t>
            </w:r>
          </w:p>
        </w:tc>
      </w:tr>
      <w:tr w:rsidR="00CB7330" w:rsidRPr="002430BB" w14:paraId="379BE996" w14:textId="77777777" w:rsidTr="00AD34BE">
        <w:trPr>
          <w:trHeight w:val="979"/>
          <w:jc w:val="center"/>
        </w:trPr>
        <w:tc>
          <w:tcPr>
            <w:tcW w:w="1345" w:type="dxa"/>
            <w:shd w:val="clear" w:color="auto" w:fill="D0CECE" w:themeFill="background2" w:themeFillShade="E6"/>
            <w:vAlign w:val="center"/>
            <w:hideMark/>
          </w:tcPr>
          <w:p w14:paraId="2E6DA6E4"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4</w:t>
            </w:r>
          </w:p>
        </w:tc>
        <w:tc>
          <w:tcPr>
            <w:tcW w:w="6210" w:type="dxa"/>
          </w:tcPr>
          <w:p w14:paraId="3FA83E36"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For desired antibody characteristics, how much is tunability to specific strains of pathogens valued vs antibodies that broadly recognize clades or families of pathogens?</w:t>
            </w:r>
          </w:p>
        </w:tc>
        <w:tc>
          <w:tcPr>
            <w:tcW w:w="6030" w:type="dxa"/>
          </w:tcPr>
          <w:p w14:paraId="34677F1A" w14:textId="77777777" w:rsidR="00CB7330" w:rsidRDefault="00CB7330" w:rsidP="00F50F69">
            <w:pPr>
              <w:spacing w:after="0" w:line="240" w:lineRule="auto"/>
              <w:ind w:right="101"/>
              <w:rPr>
                <w:rFonts w:eastAsia="Times New Roman" w:cs="Arial"/>
                <w:color w:val="000000"/>
                <w:kern w:val="0"/>
                <w14:ligatures w14:val="none"/>
              </w:rPr>
            </w:pPr>
            <w:r w:rsidRPr="002842D9">
              <w:rPr>
                <w:rFonts w:eastAsia="Times New Roman" w:cs="Arial"/>
                <w:color w:val="000000"/>
                <w:kern w:val="0"/>
                <w14:ligatures w14:val="none"/>
              </w:rPr>
              <w:t>It depends on clinical need, as some use cases favor highly strain-specific antibodies while others benefit from broadly reactive antibodies that cover clades or families. We encourage offerors to clearly describe their capabilities</w:t>
            </w:r>
            <w:r>
              <w:rPr>
                <w:rFonts w:eastAsia="Times New Roman" w:cs="Arial"/>
                <w:color w:val="000000"/>
                <w:kern w:val="0"/>
                <w14:ligatures w14:val="none"/>
              </w:rPr>
              <w:t xml:space="preserve"> across the spectrum of diagnostic needs</w:t>
            </w:r>
            <w:r w:rsidRPr="002842D9">
              <w:rPr>
                <w:rFonts w:eastAsia="Times New Roman" w:cs="Arial"/>
                <w:color w:val="000000"/>
                <w:kern w:val="0"/>
                <w14:ligatures w14:val="none"/>
              </w:rPr>
              <w:t xml:space="preserve">, including </w:t>
            </w:r>
            <w:r>
              <w:rPr>
                <w:rFonts w:eastAsia="Times New Roman" w:cs="Arial"/>
                <w:color w:val="000000"/>
                <w:kern w:val="0"/>
                <w14:ligatures w14:val="none"/>
              </w:rPr>
              <w:t xml:space="preserve">discussion of </w:t>
            </w:r>
            <w:r w:rsidRPr="002842D9">
              <w:rPr>
                <w:rFonts w:eastAsia="Times New Roman" w:cs="Arial"/>
                <w:color w:val="000000"/>
                <w:kern w:val="0"/>
                <w14:ligatures w14:val="none"/>
              </w:rPr>
              <w:t>key limitations and trade-offs</w:t>
            </w:r>
            <w:r>
              <w:rPr>
                <w:rFonts w:eastAsia="Times New Roman" w:cs="Arial"/>
                <w:color w:val="000000"/>
                <w:kern w:val="0"/>
                <w14:ligatures w14:val="none"/>
              </w:rPr>
              <w:t xml:space="preserve"> as well as supporting data if available</w:t>
            </w:r>
            <w:r w:rsidRPr="002842D9">
              <w:rPr>
                <w:rFonts w:eastAsia="Times New Roman" w:cs="Arial"/>
                <w:color w:val="000000"/>
                <w:kern w:val="0"/>
                <w14:ligatures w14:val="none"/>
              </w:rPr>
              <w:t>.</w:t>
            </w:r>
          </w:p>
          <w:p w14:paraId="0183C7FD" w14:textId="77777777" w:rsidR="00CB7330" w:rsidRPr="002430BB" w:rsidRDefault="00CB7330" w:rsidP="00F50F69">
            <w:pPr>
              <w:spacing w:after="0" w:line="240" w:lineRule="auto"/>
              <w:ind w:right="101"/>
              <w:rPr>
                <w:rFonts w:eastAsia="Times New Roman" w:cs="Arial"/>
                <w:color w:val="000000"/>
                <w:kern w:val="0"/>
                <w14:ligatures w14:val="none"/>
              </w:rPr>
            </w:pPr>
          </w:p>
        </w:tc>
      </w:tr>
      <w:tr w:rsidR="00CB7330" w:rsidRPr="002430BB" w14:paraId="4931BDF7" w14:textId="77777777" w:rsidTr="00AD34BE">
        <w:trPr>
          <w:trHeight w:val="979"/>
          <w:jc w:val="center"/>
        </w:trPr>
        <w:tc>
          <w:tcPr>
            <w:tcW w:w="1345" w:type="dxa"/>
            <w:shd w:val="clear" w:color="auto" w:fill="D0CECE" w:themeFill="background2" w:themeFillShade="E6"/>
            <w:vAlign w:val="center"/>
            <w:hideMark/>
          </w:tcPr>
          <w:p w14:paraId="735CED91"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5</w:t>
            </w:r>
          </w:p>
        </w:tc>
        <w:tc>
          <w:tcPr>
            <w:tcW w:w="6210" w:type="dxa"/>
          </w:tcPr>
          <w:p w14:paraId="4F12C351"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Is the initial development stage intended to be fully pathogen agnostic or directed toward sequences within the stress test?</w:t>
            </w:r>
          </w:p>
        </w:tc>
        <w:tc>
          <w:tcPr>
            <w:tcW w:w="6030" w:type="dxa"/>
          </w:tcPr>
          <w:p w14:paraId="1DDBED25" w14:textId="77777777" w:rsidR="00CB7330" w:rsidRDefault="00CB7330" w:rsidP="00F50F69">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 xml:space="preserve">We expect varying degrees of needed development from the proposed solutions. Development should be a separate effort and will not use pathogens from the stress test. Stress testing will effectively be pilot runs of the integrated system. </w:t>
            </w:r>
          </w:p>
          <w:p w14:paraId="19255B71" w14:textId="77777777" w:rsidR="00CB7330" w:rsidRPr="002430BB" w:rsidRDefault="00CB7330" w:rsidP="00F50F69">
            <w:pPr>
              <w:spacing w:after="0" w:line="240" w:lineRule="auto"/>
              <w:ind w:right="101"/>
              <w:rPr>
                <w:rFonts w:eastAsia="Times New Roman" w:cs="Arial"/>
                <w:color w:val="000000"/>
                <w:kern w:val="0"/>
                <w14:ligatures w14:val="none"/>
              </w:rPr>
            </w:pPr>
          </w:p>
        </w:tc>
      </w:tr>
      <w:tr w:rsidR="00CB7330" w:rsidRPr="002430BB" w14:paraId="48FF362A" w14:textId="77777777" w:rsidTr="00AD34BE">
        <w:trPr>
          <w:trHeight w:val="979"/>
          <w:jc w:val="center"/>
        </w:trPr>
        <w:tc>
          <w:tcPr>
            <w:tcW w:w="1345" w:type="dxa"/>
            <w:shd w:val="clear" w:color="auto" w:fill="D0CECE" w:themeFill="background2" w:themeFillShade="E6"/>
            <w:vAlign w:val="center"/>
            <w:hideMark/>
          </w:tcPr>
          <w:p w14:paraId="14518440"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6</w:t>
            </w:r>
          </w:p>
        </w:tc>
        <w:tc>
          <w:tcPr>
            <w:tcW w:w="6210" w:type="dxa"/>
          </w:tcPr>
          <w:p w14:paraId="164B44B9"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 xml:space="preserve">Can you list the requirements for submission and membership. Can non-US entities apply? For US-entities applying, can they have non-US contractors, or subcontractors. Does having any </w:t>
            </w:r>
            <w:proofErr w:type="gramStart"/>
            <w:r w:rsidRPr="002430BB">
              <w:rPr>
                <w:rFonts w:eastAsia="Times New Roman" w:cs="Arial"/>
                <w:color w:val="000000"/>
                <w:kern w:val="0"/>
                <w14:ligatures w14:val="none"/>
              </w:rPr>
              <w:t>Non-US</w:t>
            </w:r>
            <w:proofErr w:type="gramEnd"/>
            <w:r w:rsidRPr="002430BB">
              <w:rPr>
                <w:rFonts w:eastAsia="Times New Roman" w:cs="Arial"/>
                <w:color w:val="000000"/>
                <w:kern w:val="0"/>
                <w14:ligatures w14:val="none"/>
              </w:rPr>
              <w:t xml:space="preserve"> entities involved in the application be marked against the application or have less priority?</w:t>
            </w:r>
          </w:p>
        </w:tc>
        <w:tc>
          <w:tcPr>
            <w:tcW w:w="6030" w:type="dxa"/>
          </w:tcPr>
          <w:p w14:paraId="60982CE5" w14:textId="77777777" w:rsidR="00CB7330" w:rsidRPr="002430BB" w:rsidRDefault="00CB7330" w:rsidP="00F50F69">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The</w:t>
            </w:r>
            <w:r w:rsidRPr="002430BB">
              <w:rPr>
                <w:rFonts w:eastAsia="Times New Roman" w:cs="Arial"/>
                <w:color w:val="000000"/>
                <w:kern w:val="0"/>
                <w14:ligatures w14:val="none"/>
              </w:rPr>
              <w:t xml:space="preserve"> RAPID effort seeks to establish a US-based rapid antibody production capability, and as such, offerors and facilities used must be US-based.</w:t>
            </w:r>
          </w:p>
        </w:tc>
      </w:tr>
      <w:tr w:rsidR="00CB7330" w:rsidRPr="002430BB" w14:paraId="41416BC5" w14:textId="77777777" w:rsidTr="00AD34BE">
        <w:trPr>
          <w:trHeight w:val="979"/>
          <w:jc w:val="center"/>
        </w:trPr>
        <w:tc>
          <w:tcPr>
            <w:tcW w:w="1345" w:type="dxa"/>
            <w:shd w:val="clear" w:color="auto" w:fill="D0CECE" w:themeFill="background2" w:themeFillShade="E6"/>
            <w:vAlign w:val="center"/>
            <w:hideMark/>
          </w:tcPr>
          <w:p w14:paraId="01CDD575"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lastRenderedPageBreak/>
              <w:t>7</w:t>
            </w:r>
          </w:p>
        </w:tc>
        <w:tc>
          <w:tcPr>
            <w:tcW w:w="6210" w:type="dxa"/>
          </w:tcPr>
          <w:p w14:paraId="5082A811"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For delivery of protein or antibody products, is there an amount requirement?</w:t>
            </w:r>
          </w:p>
        </w:tc>
        <w:tc>
          <w:tcPr>
            <w:tcW w:w="6030" w:type="dxa"/>
          </w:tcPr>
          <w:p w14:paraId="3F7687B8" w14:textId="77777777" w:rsidR="00CB7330" w:rsidRPr="002430BB" w:rsidRDefault="00CB7330" w:rsidP="00F50F69">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 xml:space="preserve">We expect that 10s of mg will be sufficient to complete the testing needed. Please clearly describe current capabilities. Further information will be provided to selected offerors. </w:t>
            </w:r>
          </w:p>
        </w:tc>
      </w:tr>
      <w:tr w:rsidR="00CB7330" w:rsidRPr="002430BB" w14:paraId="6C7D8FC6" w14:textId="77777777" w:rsidTr="00AD34BE">
        <w:trPr>
          <w:trHeight w:val="979"/>
          <w:jc w:val="center"/>
        </w:trPr>
        <w:tc>
          <w:tcPr>
            <w:tcW w:w="1345" w:type="dxa"/>
            <w:shd w:val="clear" w:color="auto" w:fill="D0CECE" w:themeFill="background2" w:themeFillShade="E6"/>
            <w:vAlign w:val="center"/>
            <w:hideMark/>
          </w:tcPr>
          <w:p w14:paraId="05D03AD0" w14:textId="77777777" w:rsidR="00CB7330" w:rsidRPr="002430BB" w:rsidRDefault="00CB7330" w:rsidP="00F50F69">
            <w:pPr>
              <w:spacing w:after="0" w:line="240" w:lineRule="auto"/>
              <w:jc w:val="center"/>
              <w:rPr>
                <w:rFonts w:eastAsia="Times New Roman" w:cs="Arial"/>
                <w:color w:val="000000"/>
                <w:kern w:val="0"/>
                <w14:ligatures w14:val="none"/>
              </w:rPr>
            </w:pPr>
            <w:bookmarkStart w:id="0" w:name="_Hlk208926358"/>
            <w:r w:rsidRPr="002430BB">
              <w:rPr>
                <w:rFonts w:eastAsia="Times New Roman" w:cs="Arial"/>
                <w:color w:val="000000"/>
                <w:kern w:val="0"/>
                <w14:ligatures w14:val="none"/>
              </w:rPr>
              <w:t>8</w:t>
            </w:r>
          </w:p>
        </w:tc>
        <w:tc>
          <w:tcPr>
            <w:tcW w:w="6210" w:type="dxa"/>
          </w:tcPr>
          <w:p w14:paraId="206CF3AA"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Does a biological compound that has the following actions fit criteria? Membrane Permeability: BCP is lipophilic, allowing it to insert itself into the lipid bilayer of bacterial cell walls. It can bind to and disrupt membrane-bound proteins, leading to the leakage of intracellular contents and eventual cell death (lysis).</w:t>
            </w:r>
          </w:p>
          <w:p w14:paraId="0ECC79C8" w14:textId="77777777" w:rsidR="00CB7330" w:rsidRPr="002430BB" w:rsidRDefault="00CB7330" w:rsidP="00F50F69">
            <w:r w:rsidRPr="002430BB">
              <w:rPr>
                <w:rFonts w:eastAsia="Times New Roman" w:cs="Arial"/>
                <w:color w:val="000000"/>
                <w:kern w:val="0"/>
                <w14:ligatures w14:val="none"/>
              </w:rPr>
              <w:t>Enzyme Inhibition: Some studies indicate that BCP may bind to specific bacterial enzymes or proteins involved in biofilm formation, effectively "locking" the protein and preventing the bacteria from adhering to surfaces or neighboring cells.</w:t>
            </w:r>
            <w:r w:rsidRPr="002430BB">
              <w:t xml:space="preserve"> </w:t>
            </w:r>
          </w:p>
          <w:p w14:paraId="5568A9E6" w14:textId="77777777" w:rsidR="00CB7330" w:rsidRPr="002430BB" w:rsidRDefault="00CB7330" w:rsidP="00F50F69">
            <w:pPr>
              <w:rPr>
                <w:rFonts w:eastAsia="Times New Roman" w:cs="Arial"/>
                <w:color w:val="000000"/>
                <w:kern w:val="0"/>
                <w14:ligatures w14:val="none"/>
              </w:rPr>
            </w:pPr>
            <w:r w:rsidRPr="002430BB">
              <w:t>F</w:t>
            </w:r>
            <w:r w:rsidRPr="002430BB">
              <w:rPr>
                <w:rFonts w:eastAsia="Times New Roman" w:cs="Arial"/>
                <w:color w:val="000000"/>
                <w:kern w:val="0"/>
                <w14:ligatures w14:val="none"/>
              </w:rPr>
              <w:t>urthermore: In the context of viral infections, beta-caryophyllene (BCP) functions less as a general "binder" and more as a targeted disruptor of viral entry and a modulator of the host's inflammatory response. Recent research highlights its potential across three specific biological interfaces: 1. Direct Binding to Viral Surface Glycoproteins Molecular docking and Surface Plasmon Resonance (SPR) studies indicate that BCP can physically bind to specific proteins on a virus’s exterior, which are essential for the virus to "lock" onto a host cell. Targeting Fusion Proteins: For viruses like HSV-1, BCP has shown a strong binding affinity to Glycoprotein B (</w:t>
            </w:r>
            <w:proofErr w:type="spellStart"/>
            <w:r w:rsidRPr="002430BB">
              <w:rPr>
                <w:rFonts w:eastAsia="Times New Roman" w:cs="Arial"/>
                <w:color w:val="000000"/>
                <w:kern w:val="0"/>
                <w14:ligatures w14:val="none"/>
              </w:rPr>
              <w:t>gB</w:t>
            </w:r>
            <w:proofErr w:type="spellEnd"/>
            <w:r w:rsidRPr="002430BB">
              <w:rPr>
                <w:rFonts w:eastAsia="Times New Roman" w:cs="Arial"/>
                <w:color w:val="000000"/>
                <w:kern w:val="0"/>
                <w14:ligatures w14:val="none"/>
              </w:rPr>
              <w:t>). This binding stabilizes the protein in a way that may impede its ability to fuse with the host cell membrane, effectively "blunting" the viral key.</w:t>
            </w:r>
          </w:p>
        </w:tc>
        <w:tc>
          <w:tcPr>
            <w:tcW w:w="6030" w:type="dxa"/>
          </w:tcPr>
          <w:p w14:paraId="2B4AB7E5" w14:textId="77777777" w:rsidR="00CB7330" w:rsidRPr="002430BB" w:rsidRDefault="00CB7330" w:rsidP="00F50F69">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 xml:space="preserve">This effort focuses </w:t>
            </w:r>
            <w:r w:rsidRPr="000121FE">
              <w:rPr>
                <w:rFonts w:eastAsia="Times New Roman" w:cs="Arial"/>
                <w:color w:val="000000"/>
                <w:kern w:val="0"/>
                <w14:ligatures w14:val="none"/>
              </w:rPr>
              <w:t>solely on diagnostic antibody and protein-based binder development through production. The antibody or protein-based binder must be able to function in an in-vitro diagnostic device for infectious disease pathogens with the requisite clinical sensitivity and specificity for the intended-use.</w:t>
            </w:r>
          </w:p>
        </w:tc>
      </w:tr>
      <w:bookmarkEnd w:id="0"/>
      <w:tr w:rsidR="00CB7330" w:rsidRPr="002430BB" w14:paraId="0362A088" w14:textId="77777777" w:rsidTr="00AD34BE">
        <w:trPr>
          <w:trHeight w:val="979"/>
          <w:jc w:val="center"/>
        </w:trPr>
        <w:tc>
          <w:tcPr>
            <w:tcW w:w="1345" w:type="dxa"/>
            <w:shd w:val="clear" w:color="auto" w:fill="D0CECE" w:themeFill="background2" w:themeFillShade="E6"/>
            <w:vAlign w:val="center"/>
            <w:hideMark/>
          </w:tcPr>
          <w:p w14:paraId="280198FD"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9</w:t>
            </w:r>
          </w:p>
        </w:tc>
        <w:tc>
          <w:tcPr>
            <w:tcW w:w="6210" w:type="dxa"/>
          </w:tcPr>
          <w:p w14:paraId="6056F7B4"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Is there a limit on the kind of partners or subcontractors?</w:t>
            </w:r>
          </w:p>
        </w:tc>
        <w:tc>
          <w:tcPr>
            <w:tcW w:w="6030" w:type="dxa"/>
          </w:tcPr>
          <w:p w14:paraId="03698D69" w14:textId="77777777" w:rsidR="00CB7330" w:rsidRPr="002430BB" w:rsidRDefault="00CB7330" w:rsidP="00F50F69">
            <w:pPr>
              <w:spacing w:after="0" w:line="240" w:lineRule="auto"/>
              <w:ind w:right="101"/>
              <w:rPr>
                <w:rFonts w:eastAsia="Times New Roman" w:cs="Arial"/>
                <w:color w:val="000000"/>
                <w:kern w:val="0"/>
                <w14:ligatures w14:val="none"/>
              </w:rPr>
            </w:pPr>
            <w:r w:rsidRPr="002430BB">
              <w:rPr>
                <w:rFonts w:eastAsia="Times New Roman" w:cs="Arial"/>
                <w:color w:val="000000"/>
                <w:kern w:val="0"/>
                <w14:ligatures w14:val="none"/>
              </w:rPr>
              <w:t>Although there is no limit on the kind of partners or subcontractors, per section 2.6 Mandatory Eligibility Criteria</w:t>
            </w:r>
            <w:r>
              <w:rPr>
                <w:rFonts w:eastAsia="Times New Roman" w:cs="Arial"/>
                <w:color w:val="000000"/>
                <w:kern w:val="0"/>
                <w14:ligatures w14:val="none"/>
              </w:rPr>
              <w:t>, o</w:t>
            </w:r>
            <w:r w:rsidRPr="002430BB">
              <w:rPr>
                <w:rFonts w:eastAsia="Times New Roman" w:cs="Arial"/>
                <w:color w:val="000000"/>
                <w:kern w:val="0"/>
                <w14:ligatures w14:val="none"/>
              </w:rPr>
              <w:t>fferors (and facilities used in this proposal) must be US-based.</w:t>
            </w:r>
          </w:p>
        </w:tc>
      </w:tr>
      <w:tr w:rsidR="00CB7330" w:rsidRPr="002430BB" w14:paraId="153FF587" w14:textId="77777777" w:rsidTr="00AD34BE">
        <w:trPr>
          <w:trHeight w:val="979"/>
          <w:jc w:val="center"/>
        </w:trPr>
        <w:tc>
          <w:tcPr>
            <w:tcW w:w="1345" w:type="dxa"/>
            <w:shd w:val="clear" w:color="auto" w:fill="D0CECE" w:themeFill="background2" w:themeFillShade="E6"/>
            <w:vAlign w:val="center"/>
            <w:hideMark/>
          </w:tcPr>
          <w:p w14:paraId="79B53B66"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lastRenderedPageBreak/>
              <w:t>10</w:t>
            </w:r>
          </w:p>
        </w:tc>
        <w:tc>
          <w:tcPr>
            <w:tcW w:w="6210" w:type="dxa"/>
          </w:tcPr>
          <w:p w14:paraId="38B4A886"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If the team has a well-established pipeline for the AI-based discovery of antibodies and in vitro screening capabilities for binders but a state-of-the-art cell-based production pipeline, is that still of interest?</w:t>
            </w:r>
          </w:p>
        </w:tc>
        <w:tc>
          <w:tcPr>
            <w:tcW w:w="6030" w:type="dxa"/>
          </w:tcPr>
          <w:p w14:paraId="05B1E8E3" w14:textId="77777777" w:rsidR="00CB7330" w:rsidRPr="002430BB" w:rsidRDefault="00CB7330" w:rsidP="00F50F69">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The primary goal of the RPP is speed. We welcome any submission that addresses this goal. Offerors should provide data to support maturity claims and clearly outline development work (if any) needed.</w:t>
            </w:r>
          </w:p>
        </w:tc>
      </w:tr>
      <w:tr w:rsidR="00CB7330" w:rsidRPr="002430BB" w14:paraId="2ED9492A" w14:textId="77777777" w:rsidTr="00AD34BE">
        <w:trPr>
          <w:trHeight w:val="979"/>
          <w:jc w:val="center"/>
        </w:trPr>
        <w:tc>
          <w:tcPr>
            <w:tcW w:w="1345" w:type="dxa"/>
            <w:shd w:val="clear" w:color="auto" w:fill="D0CECE" w:themeFill="background2" w:themeFillShade="E6"/>
            <w:vAlign w:val="center"/>
          </w:tcPr>
          <w:p w14:paraId="51BB0433"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11</w:t>
            </w:r>
          </w:p>
        </w:tc>
        <w:tc>
          <w:tcPr>
            <w:tcW w:w="6210" w:type="dxa"/>
          </w:tcPr>
          <w:p w14:paraId="0E9CEF4C"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 xml:space="preserve">The solicitation mentions starting with a sequence.  I assume the sequence is meant to give us a head start on generating binders, but in the </w:t>
            </w:r>
            <w:proofErr w:type="gramStart"/>
            <w:r w:rsidRPr="002430BB">
              <w:rPr>
                <w:rFonts w:eastAsia="Times New Roman" w:cs="Arial"/>
                <w:color w:val="000000"/>
                <w:kern w:val="0"/>
                <w14:ligatures w14:val="none"/>
              </w:rPr>
              <w:t>meantime</w:t>
            </w:r>
            <w:proofErr w:type="gramEnd"/>
            <w:r w:rsidRPr="002430BB">
              <w:rPr>
                <w:rFonts w:eastAsia="Times New Roman" w:cs="Arial"/>
                <w:color w:val="000000"/>
                <w:kern w:val="0"/>
                <w14:ligatures w14:val="none"/>
              </w:rPr>
              <w:t xml:space="preserve"> we can use the sequence to </w:t>
            </w:r>
            <w:proofErr w:type="gramStart"/>
            <w:r w:rsidRPr="002430BB">
              <w:rPr>
                <w:rFonts w:eastAsia="Times New Roman" w:cs="Arial"/>
                <w:color w:val="000000"/>
                <w:kern w:val="0"/>
                <w14:ligatures w14:val="none"/>
              </w:rPr>
              <w:t>actually generate</w:t>
            </w:r>
            <w:proofErr w:type="gramEnd"/>
            <w:r w:rsidRPr="002430BB">
              <w:rPr>
                <w:rFonts w:eastAsia="Times New Roman" w:cs="Arial"/>
                <w:color w:val="000000"/>
                <w:kern w:val="0"/>
                <w14:ligatures w14:val="none"/>
              </w:rPr>
              <w:t xml:space="preserve"> the target (if it is a virus) or eventually have access to the target organism itself for testing.  Is that correct?  Or are we supposed to only work with the sequence?</w:t>
            </w:r>
          </w:p>
        </w:tc>
        <w:tc>
          <w:tcPr>
            <w:tcW w:w="6030" w:type="dxa"/>
          </w:tcPr>
          <w:p w14:paraId="3594F720" w14:textId="77777777" w:rsidR="00CB7330" w:rsidRDefault="00CB7330" w:rsidP="00F50F69">
            <w:pPr>
              <w:spacing w:after="0" w:line="240" w:lineRule="auto"/>
              <w:ind w:right="101"/>
              <w:rPr>
                <w:rFonts w:eastAsia="Times New Roman" w:cs="Arial"/>
                <w:color w:val="000000"/>
                <w:kern w:val="0"/>
                <w14:ligatures w14:val="none"/>
              </w:rPr>
            </w:pPr>
            <w:r w:rsidRPr="000121FE">
              <w:rPr>
                <w:rFonts w:eastAsia="Times New Roman" w:cs="Arial"/>
                <w:color w:val="000000"/>
                <w:kern w:val="0"/>
                <w14:ligatures w14:val="none"/>
              </w:rPr>
              <w:t>The sequence is intended as a starting point for development if needed; performers may use the exact pathogen during development if it can be sourced. In any case the pathogen will be available for final capstone testing. Teams should also consider and discuss their workflow if access to the pathogen is limited.</w:t>
            </w:r>
          </w:p>
        </w:tc>
      </w:tr>
      <w:tr w:rsidR="00CB7330" w:rsidRPr="002430BB" w14:paraId="3A964D2B" w14:textId="77777777" w:rsidTr="00F50F69">
        <w:trPr>
          <w:trHeight w:val="979"/>
          <w:jc w:val="center"/>
        </w:trPr>
        <w:tc>
          <w:tcPr>
            <w:tcW w:w="1345" w:type="dxa"/>
            <w:shd w:val="clear" w:color="auto" w:fill="D9D9D9" w:themeFill="background1" w:themeFillShade="D9"/>
            <w:vAlign w:val="center"/>
          </w:tcPr>
          <w:p w14:paraId="60D88F1F"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12</w:t>
            </w:r>
          </w:p>
        </w:tc>
        <w:tc>
          <w:tcPr>
            <w:tcW w:w="6210" w:type="dxa"/>
          </w:tcPr>
          <w:p w14:paraId="6EF7814F"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Regarding the Phase 1 R&amp;D requirements: Is the contractor expected to propose an independent surrogate target for R&amp;D demonstration, or should the work exclusively utilize the USG-designated BSL-2 targets as the primary examples?</w:t>
            </w:r>
          </w:p>
        </w:tc>
        <w:tc>
          <w:tcPr>
            <w:tcW w:w="6030" w:type="dxa"/>
          </w:tcPr>
          <w:p w14:paraId="2828A6DE" w14:textId="77777777" w:rsidR="00CB7330" w:rsidRPr="000121FE" w:rsidRDefault="00CB7330" w:rsidP="00F50F69">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 xml:space="preserve">USG-designated targets will not be used during R&amp;D in Phase 1. Offerors should propose an independent surrogate target(s) for R&amp;D purposes. </w:t>
            </w:r>
          </w:p>
        </w:tc>
      </w:tr>
      <w:tr w:rsidR="00CB7330" w:rsidRPr="002430BB" w14:paraId="2E498383" w14:textId="77777777" w:rsidTr="00F50F69">
        <w:trPr>
          <w:trHeight w:val="979"/>
          <w:jc w:val="center"/>
        </w:trPr>
        <w:tc>
          <w:tcPr>
            <w:tcW w:w="1345" w:type="dxa"/>
            <w:shd w:val="clear" w:color="auto" w:fill="D9D9D9" w:themeFill="background1" w:themeFillShade="D9"/>
            <w:vAlign w:val="center"/>
          </w:tcPr>
          <w:p w14:paraId="331B3F24"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13</w:t>
            </w:r>
          </w:p>
        </w:tc>
        <w:tc>
          <w:tcPr>
            <w:tcW w:w="6210" w:type="dxa"/>
          </w:tcPr>
          <w:p w14:paraId="37521DB9"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During Phase 1 development, when will the USG disclose the BSL-2 targets designated for the Capstone Test?</w:t>
            </w:r>
          </w:p>
        </w:tc>
        <w:tc>
          <w:tcPr>
            <w:tcW w:w="6030" w:type="dxa"/>
          </w:tcPr>
          <w:p w14:paraId="644B0D49" w14:textId="77777777" w:rsidR="00CB7330" w:rsidRPr="002430BB" w:rsidRDefault="00CB7330" w:rsidP="00F50F69">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 xml:space="preserve">Targets will be shared at the beginning of the Phase 1 Capstone. </w:t>
            </w:r>
          </w:p>
        </w:tc>
      </w:tr>
      <w:tr w:rsidR="00CB7330" w:rsidRPr="002430BB" w14:paraId="44F43F8C" w14:textId="77777777" w:rsidTr="00F50F69">
        <w:trPr>
          <w:trHeight w:val="979"/>
          <w:jc w:val="center"/>
        </w:trPr>
        <w:tc>
          <w:tcPr>
            <w:tcW w:w="1345" w:type="dxa"/>
            <w:shd w:val="clear" w:color="auto" w:fill="D9D9D9" w:themeFill="background1" w:themeFillShade="D9"/>
            <w:vAlign w:val="center"/>
          </w:tcPr>
          <w:p w14:paraId="5546F1D6"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14</w:t>
            </w:r>
          </w:p>
        </w:tc>
        <w:tc>
          <w:tcPr>
            <w:tcW w:w="6210" w:type="dxa"/>
          </w:tcPr>
          <w:p w14:paraId="1DB86FE4"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Regarding the Phase 2 Sprint Test: Is the duration required for third-party evaluation and validation included within the overall 2-year Period of Performance?</w:t>
            </w:r>
          </w:p>
        </w:tc>
        <w:tc>
          <w:tcPr>
            <w:tcW w:w="6030" w:type="dxa"/>
          </w:tcPr>
          <w:p w14:paraId="47A94CCD" w14:textId="77777777" w:rsidR="00CB7330" w:rsidRPr="002430BB" w:rsidRDefault="00CB7330" w:rsidP="00F50F69">
            <w:pPr>
              <w:spacing w:after="0" w:line="240" w:lineRule="auto"/>
              <w:ind w:right="101"/>
              <w:rPr>
                <w:rFonts w:eastAsia="Times New Roman" w:cs="Arial"/>
                <w:color w:val="000000"/>
                <w:kern w:val="0"/>
                <w14:ligatures w14:val="none"/>
              </w:rPr>
            </w:pPr>
            <w:r>
              <w:rPr>
                <w:rFonts w:eastAsia="MS Mincho" w:cstheme="minorHAnsi"/>
              </w:rPr>
              <w:t>As outlined in the RPP section 2.3.1,</w:t>
            </w:r>
            <w:r w:rsidRPr="00D92EE3">
              <w:rPr>
                <w:rFonts w:eastAsia="MS Mincho" w:cstheme="minorHAnsi"/>
              </w:rPr>
              <w:t xml:space="preserve"> BARDA estimates the full program Period of Performance to be up to </w:t>
            </w:r>
            <w:r w:rsidRPr="00A55663">
              <w:rPr>
                <w:rFonts w:eastAsia="MS Mincho" w:cstheme="minorHAnsi"/>
              </w:rPr>
              <w:t>two (2) years</w:t>
            </w:r>
            <w:r w:rsidRPr="00D92EE3">
              <w:rPr>
                <w:rFonts w:eastAsia="MS Mincho" w:cstheme="minorHAnsi"/>
              </w:rPr>
              <w:t xml:space="preserve"> from date of award. </w:t>
            </w:r>
            <w:r>
              <w:rPr>
                <w:rFonts w:eastAsia="MS Mincho" w:cstheme="minorHAnsi"/>
              </w:rPr>
              <w:t>S</w:t>
            </w:r>
            <w:r w:rsidRPr="00D92EE3">
              <w:rPr>
                <w:rFonts w:eastAsia="MS Mincho" w:cstheme="minorHAnsi"/>
              </w:rPr>
              <w:t xml:space="preserve">pecific dates will be negotiated prior to award of the project agreement and may extend beyond </w:t>
            </w:r>
            <w:r w:rsidRPr="00A55663">
              <w:rPr>
                <w:rFonts w:eastAsia="MS Mincho" w:cstheme="minorHAnsi"/>
              </w:rPr>
              <w:t>2 years</w:t>
            </w:r>
            <w:r w:rsidRPr="00D92EE3">
              <w:rPr>
                <w:rFonts w:eastAsia="MS Mincho" w:cstheme="minorHAnsi"/>
              </w:rPr>
              <w:t>.</w:t>
            </w:r>
            <w:r>
              <w:rPr>
                <w:rFonts w:eastAsia="MS Mincho" w:cstheme="minorHAnsi"/>
              </w:rPr>
              <w:t xml:space="preserve"> Offerors should propose the period of performance needed to complete the work proposed. Please estimate 3 months for independent testing. </w:t>
            </w:r>
          </w:p>
        </w:tc>
      </w:tr>
      <w:tr w:rsidR="00CB7330" w:rsidRPr="002430BB" w14:paraId="10D1CD08" w14:textId="77777777" w:rsidTr="00F50F69">
        <w:trPr>
          <w:trHeight w:val="979"/>
          <w:jc w:val="center"/>
        </w:trPr>
        <w:tc>
          <w:tcPr>
            <w:tcW w:w="1345" w:type="dxa"/>
            <w:shd w:val="clear" w:color="auto" w:fill="D9D9D9" w:themeFill="background1" w:themeFillShade="D9"/>
            <w:vAlign w:val="center"/>
          </w:tcPr>
          <w:p w14:paraId="6936A6FD"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15</w:t>
            </w:r>
          </w:p>
        </w:tc>
        <w:tc>
          <w:tcPr>
            <w:tcW w:w="6210" w:type="dxa"/>
          </w:tcPr>
          <w:p w14:paraId="70B11C89"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Regarding the performance objectives: Could the USG define the specific 'traditional workflow' that will serve as the baseline for the timeline comparison metrics?</w:t>
            </w:r>
          </w:p>
        </w:tc>
        <w:tc>
          <w:tcPr>
            <w:tcW w:w="6030" w:type="dxa"/>
          </w:tcPr>
          <w:p w14:paraId="55A0B1CC" w14:textId="77777777" w:rsidR="00CB7330" w:rsidRPr="002430BB" w:rsidRDefault="00CB7330" w:rsidP="00F50F69">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 xml:space="preserve">Offerors are encouraged to provide specific target timelines (supported by data where possible) for each step in their workflow. </w:t>
            </w:r>
          </w:p>
        </w:tc>
      </w:tr>
      <w:tr w:rsidR="00CB7330" w:rsidRPr="002430BB" w14:paraId="0D3788FB" w14:textId="77777777" w:rsidTr="00F50F69">
        <w:trPr>
          <w:trHeight w:val="979"/>
          <w:jc w:val="center"/>
        </w:trPr>
        <w:tc>
          <w:tcPr>
            <w:tcW w:w="1345" w:type="dxa"/>
            <w:shd w:val="clear" w:color="auto" w:fill="D9D9D9" w:themeFill="background1" w:themeFillShade="D9"/>
            <w:vAlign w:val="center"/>
          </w:tcPr>
          <w:p w14:paraId="5BB3714A"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lastRenderedPageBreak/>
              <w:t>16</w:t>
            </w:r>
          </w:p>
        </w:tc>
        <w:tc>
          <w:tcPr>
            <w:tcW w:w="6210" w:type="dxa"/>
          </w:tcPr>
          <w:p w14:paraId="0E0E055E"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May preliminary data generated under previous government grants/contracts be included in this proposal? If so, will the USG treat this information as confidential and proprietary?</w:t>
            </w:r>
          </w:p>
        </w:tc>
        <w:tc>
          <w:tcPr>
            <w:tcW w:w="6030" w:type="dxa"/>
          </w:tcPr>
          <w:p w14:paraId="4AF0A6B0" w14:textId="77777777" w:rsidR="00CB7330" w:rsidRPr="002430BB" w:rsidRDefault="00CB7330" w:rsidP="00F50F69">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Yes, prior data may be submitted as part of this proposal. All data will be treated as confidential and proprietary. Do not submit classified data. Note that submission does not impact the data use/ownership rights of the original contract.</w:t>
            </w:r>
          </w:p>
        </w:tc>
      </w:tr>
      <w:tr w:rsidR="00CB7330" w:rsidRPr="002430BB" w14:paraId="30B8AF11" w14:textId="77777777" w:rsidTr="00F50F69">
        <w:trPr>
          <w:trHeight w:val="979"/>
          <w:jc w:val="center"/>
        </w:trPr>
        <w:tc>
          <w:tcPr>
            <w:tcW w:w="1345" w:type="dxa"/>
            <w:shd w:val="clear" w:color="auto" w:fill="D9D9D9" w:themeFill="background1" w:themeFillShade="D9"/>
            <w:vAlign w:val="center"/>
          </w:tcPr>
          <w:p w14:paraId="268EACE6"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17</w:t>
            </w:r>
          </w:p>
        </w:tc>
        <w:tc>
          <w:tcPr>
            <w:tcW w:w="6210" w:type="dxa"/>
          </w:tcPr>
          <w:p w14:paraId="4A8BB15F"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 xml:space="preserve">Could the government please confirm that a </w:t>
            </w:r>
            <w:proofErr w:type="gramStart"/>
            <w:r w:rsidRPr="002430BB">
              <w:rPr>
                <w:rFonts w:eastAsia="Times New Roman" w:cs="Arial"/>
                <w:color w:val="000000"/>
                <w:kern w:val="0"/>
                <w14:ligatures w14:val="none"/>
              </w:rPr>
              <w:t>Cost Plus</w:t>
            </w:r>
            <w:proofErr w:type="gramEnd"/>
            <w:r w:rsidRPr="002430BB">
              <w:rPr>
                <w:rFonts w:eastAsia="Times New Roman" w:cs="Arial"/>
                <w:color w:val="000000"/>
                <w:kern w:val="0"/>
                <w14:ligatures w14:val="none"/>
              </w:rPr>
              <w:t xml:space="preserve"> Fixed Fee contract type is acceptable for this solicitation?</w:t>
            </w:r>
          </w:p>
        </w:tc>
        <w:tc>
          <w:tcPr>
            <w:tcW w:w="6030" w:type="dxa"/>
          </w:tcPr>
          <w:p w14:paraId="6C205DBB" w14:textId="77777777" w:rsidR="00CB7330" w:rsidRPr="002430BB" w:rsidRDefault="00CB7330" w:rsidP="00F50F69">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 xml:space="preserve">Cost contracts are acceptable. If offerors intend to propose a fixed fee, they should provide sufficient justification. </w:t>
            </w:r>
          </w:p>
        </w:tc>
      </w:tr>
      <w:tr w:rsidR="00CB7330" w:rsidRPr="002430BB" w14:paraId="6ED0BD8B" w14:textId="77777777" w:rsidTr="00F50F69">
        <w:trPr>
          <w:trHeight w:val="979"/>
          <w:jc w:val="center"/>
        </w:trPr>
        <w:tc>
          <w:tcPr>
            <w:tcW w:w="1345" w:type="dxa"/>
            <w:shd w:val="clear" w:color="auto" w:fill="D9D9D9" w:themeFill="background1" w:themeFillShade="D9"/>
            <w:vAlign w:val="center"/>
          </w:tcPr>
          <w:p w14:paraId="3820FAD0"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18</w:t>
            </w:r>
          </w:p>
        </w:tc>
        <w:tc>
          <w:tcPr>
            <w:tcW w:w="6210" w:type="dxa"/>
          </w:tcPr>
          <w:p w14:paraId="6442DD05"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 xml:space="preserve">This program is focused on end-to-end integration. Can you provide clarity on the starting point and end point?  </w:t>
            </w:r>
          </w:p>
        </w:tc>
        <w:tc>
          <w:tcPr>
            <w:tcW w:w="6030" w:type="dxa"/>
          </w:tcPr>
          <w:p w14:paraId="7425F263" w14:textId="77777777" w:rsidR="00CB7330" w:rsidRPr="002430BB" w:rsidRDefault="00CB7330" w:rsidP="00F50F69">
            <w:pPr>
              <w:spacing w:after="0" w:line="240" w:lineRule="auto"/>
              <w:ind w:right="101"/>
              <w:rPr>
                <w:rFonts w:eastAsia="Times New Roman" w:cs="Arial"/>
                <w:color w:val="000000"/>
                <w:kern w:val="0"/>
                <w14:ligatures w14:val="none"/>
              </w:rPr>
            </w:pPr>
            <w:r w:rsidRPr="000121FE">
              <w:rPr>
                <w:rFonts w:eastAsia="Times New Roman" w:cs="Arial"/>
                <w:color w:val="000000"/>
                <w:kern w:val="0"/>
                <w14:ligatures w14:val="none"/>
              </w:rPr>
              <w:t>The starting point is a genome sequence. The output/ending point is a high-performance and well-characterized antibody/binder for use in in-vitro diagnostic devices.</w:t>
            </w:r>
          </w:p>
        </w:tc>
      </w:tr>
      <w:tr w:rsidR="00CB7330" w:rsidRPr="002430BB" w14:paraId="3F3B76C8" w14:textId="77777777" w:rsidTr="00F50F69">
        <w:trPr>
          <w:trHeight w:val="979"/>
          <w:jc w:val="center"/>
        </w:trPr>
        <w:tc>
          <w:tcPr>
            <w:tcW w:w="1345" w:type="dxa"/>
            <w:shd w:val="clear" w:color="auto" w:fill="D9D9D9" w:themeFill="background1" w:themeFillShade="D9"/>
            <w:vAlign w:val="center"/>
          </w:tcPr>
          <w:p w14:paraId="590467D1"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19</w:t>
            </w:r>
          </w:p>
        </w:tc>
        <w:tc>
          <w:tcPr>
            <w:tcW w:w="6210" w:type="dxa"/>
          </w:tcPr>
          <w:p w14:paraId="190FB38A"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 xml:space="preserve">Starting point: In Section 4.2 of the RPP the terms “gene sequence” and “target genomes” have been used seemingly interchangeably but they have different meanings. Will BARDA provide a complete pathogen genome or a single gene sequence?  </w:t>
            </w:r>
          </w:p>
        </w:tc>
        <w:tc>
          <w:tcPr>
            <w:tcW w:w="6030" w:type="dxa"/>
          </w:tcPr>
          <w:p w14:paraId="0A677D38" w14:textId="77777777" w:rsidR="00CB7330" w:rsidRPr="000121FE" w:rsidRDefault="00CB7330" w:rsidP="00F50F69">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The intent is to provide a whole genome sequence.</w:t>
            </w:r>
          </w:p>
        </w:tc>
      </w:tr>
      <w:tr w:rsidR="00CB7330" w:rsidRPr="002430BB" w14:paraId="6BCC3CB2" w14:textId="77777777" w:rsidTr="00F50F69">
        <w:trPr>
          <w:trHeight w:val="979"/>
          <w:jc w:val="center"/>
        </w:trPr>
        <w:tc>
          <w:tcPr>
            <w:tcW w:w="1345" w:type="dxa"/>
            <w:shd w:val="clear" w:color="auto" w:fill="D9D9D9" w:themeFill="background1" w:themeFillShade="D9"/>
            <w:vAlign w:val="center"/>
          </w:tcPr>
          <w:p w14:paraId="67489B4A"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20</w:t>
            </w:r>
          </w:p>
        </w:tc>
        <w:tc>
          <w:tcPr>
            <w:tcW w:w="6210" w:type="dxa"/>
          </w:tcPr>
          <w:p w14:paraId="677A4E68"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 xml:space="preserve">End Point: The RPP States in section 1.3 “production, with a clear pathway to GMP quality”. Is lab scale production of final antibody/binder candidate sufficient for this program’s objectives, or is the offeror required to demonstrate transition to GMP manufacturing? Is the end point different between Phase 1 and Phase 2?  </w:t>
            </w:r>
          </w:p>
        </w:tc>
        <w:tc>
          <w:tcPr>
            <w:tcW w:w="6030" w:type="dxa"/>
          </w:tcPr>
          <w:p w14:paraId="5A1ED488" w14:textId="77777777" w:rsidR="00CB7330" w:rsidRPr="002430BB" w:rsidRDefault="00CB7330" w:rsidP="00F50F69">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Lab scale production is sufficient for Phase 1 and Phase 2 provided you can produce the quantities needed for testing. See response to #7 above.</w:t>
            </w:r>
          </w:p>
        </w:tc>
      </w:tr>
      <w:tr w:rsidR="00CB7330" w:rsidRPr="002430BB" w14:paraId="5D89AF96" w14:textId="77777777" w:rsidTr="00F50F69">
        <w:trPr>
          <w:trHeight w:val="979"/>
          <w:jc w:val="center"/>
        </w:trPr>
        <w:tc>
          <w:tcPr>
            <w:tcW w:w="1345" w:type="dxa"/>
            <w:shd w:val="clear" w:color="auto" w:fill="D9D9D9" w:themeFill="background1" w:themeFillShade="D9"/>
            <w:vAlign w:val="center"/>
          </w:tcPr>
          <w:p w14:paraId="154169F5"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21</w:t>
            </w:r>
          </w:p>
        </w:tc>
        <w:tc>
          <w:tcPr>
            <w:tcW w:w="6210" w:type="dxa"/>
          </w:tcPr>
          <w:p w14:paraId="098AA80F"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 xml:space="preserve">Total period of performance across Phase 1 &amp; 2 is 24 months. Please confirm if there is a BARDA defined </w:t>
            </w:r>
            <w:proofErr w:type="spellStart"/>
            <w:r w:rsidRPr="002430BB">
              <w:rPr>
                <w:rFonts w:eastAsia="Times New Roman" w:cs="Arial"/>
                <w:color w:val="000000"/>
                <w:kern w:val="0"/>
                <w14:ligatures w14:val="none"/>
              </w:rPr>
              <w:t>PoP</w:t>
            </w:r>
            <w:proofErr w:type="spellEnd"/>
            <w:r w:rsidRPr="002430BB">
              <w:rPr>
                <w:rFonts w:eastAsia="Times New Roman" w:cs="Arial"/>
                <w:color w:val="000000"/>
                <w:kern w:val="0"/>
                <w14:ligatures w14:val="none"/>
              </w:rPr>
              <w:t xml:space="preserve"> for each phase, for example 21 months for Phase 1 and 3 months for Phase 2.</w:t>
            </w:r>
          </w:p>
        </w:tc>
        <w:tc>
          <w:tcPr>
            <w:tcW w:w="6030" w:type="dxa"/>
          </w:tcPr>
          <w:p w14:paraId="275E08F0" w14:textId="77777777" w:rsidR="00CB7330" w:rsidRPr="002430BB" w:rsidRDefault="00CB7330" w:rsidP="00F50F69">
            <w:pPr>
              <w:spacing w:after="0" w:line="240" w:lineRule="auto"/>
              <w:ind w:right="101"/>
              <w:rPr>
                <w:rFonts w:eastAsia="Times New Roman" w:cs="Arial"/>
                <w:color w:val="000000"/>
                <w:kern w:val="0"/>
                <w14:ligatures w14:val="none"/>
              </w:rPr>
            </w:pPr>
            <w:r w:rsidRPr="00D92EE3">
              <w:rPr>
                <w:rFonts w:eastAsia="MS Mincho" w:cstheme="minorHAnsi"/>
              </w:rPr>
              <w:t xml:space="preserve">BARDA estimates the full program Period of Performance to be up to </w:t>
            </w:r>
            <w:r w:rsidRPr="00A55663">
              <w:rPr>
                <w:rFonts w:eastAsia="MS Mincho" w:cstheme="minorHAnsi"/>
              </w:rPr>
              <w:t>two (2) years</w:t>
            </w:r>
            <w:r w:rsidRPr="00D92EE3">
              <w:rPr>
                <w:rFonts w:eastAsia="MS Mincho" w:cstheme="minorHAnsi"/>
              </w:rPr>
              <w:t xml:space="preserve"> from date of award. Specific dates will be negotiated prior to award of the project agreement and may extend </w:t>
            </w:r>
            <w:proofErr w:type="gramStart"/>
            <w:r w:rsidRPr="00D92EE3">
              <w:rPr>
                <w:rFonts w:eastAsia="MS Mincho" w:cstheme="minorHAnsi"/>
              </w:rPr>
              <w:t>beyond</w:t>
            </w:r>
            <w:proofErr w:type="gramEnd"/>
            <w:r w:rsidRPr="00D92EE3">
              <w:rPr>
                <w:rFonts w:eastAsia="MS Mincho" w:cstheme="minorHAnsi"/>
              </w:rPr>
              <w:t xml:space="preserve"> </w:t>
            </w:r>
            <w:r w:rsidRPr="00A55663">
              <w:rPr>
                <w:rFonts w:eastAsia="MS Mincho" w:cstheme="minorHAnsi"/>
              </w:rPr>
              <w:t>2 years</w:t>
            </w:r>
            <w:r w:rsidRPr="00D92EE3">
              <w:rPr>
                <w:rFonts w:eastAsia="MS Mincho" w:cstheme="minorHAnsi"/>
              </w:rPr>
              <w:t>.</w:t>
            </w:r>
          </w:p>
        </w:tc>
      </w:tr>
      <w:tr w:rsidR="00CB7330" w:rsidRPr="002430BB" w14:paraId="706C2DEB" w14:textId="77777777" w:rsidTr="00F50F69">
        <w:trPr>
          <w:trHeight w:val="979"/>
          <w:jc w:val="center"/>
        </w:trPr>
        <w:tc>
          <w:tcPr>
            <w:tcW w:w="1345" w:type="dxa"/>
            <w:shd w:val="clear" w:color="auto" w:fill="D9D9D9" w:themeFill="background1" w:themeFillShade="D9"/>
            <w:vAlign w:val="center"/>
          </w:tcPr>
          <w:p w14:paraId="0621E384"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22</w:t>
            </w:r>
          </w:p>
        </w:tc>
        <w:tc>
          <w:tcPr>
            <w:tcW w:w="6210" w:type="dxa"/>
          </w:tcPr>
          <w:p w14:paraId="5D21E025"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 xml:space="preserve">Please clarify the level of phylogenetic resolution for detection. Is there a preference to optimize binder performance for distinguishing pathogens at the species level or at the strain level?  </w:t>
            </w:r>
          </w:p>
        </w:tc>
        <w:tc>
          <w:tcPr>
            <w:tcW w:w="6030" w:type="dxa"/>
          </w:tcPr>
          <w:p w14:paraId="77A0D72F" w14:textId="77777777" w:rsidR="00CB7330" w:rsidRPr="002430BB" w:rsidRDefault="00CB7330" w:rsidP="00F50F69">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 xml:space="preserve">See response to #4 above. </w:t>
            </w:r>
          </w:p>
        </w:tc>
      </w:tr>
      <w:tr w:rsidR="00CB7330" w:rsidRPr="002430BB" w14:paraId="160EB4DC" w14:textId="77777777" w:rsidTr="00F50F69">
        <w:trPr>
          <w:trHeight w:val="979"/>
          <w:jc w:val="center"/>
        </w:trPr>
        <w:tc>
          <w:tcPr>
            <w:tcW w:w="1345" w:type="dxa"/>
            <w:shd w:val="clear" w:color="auto" w:fill="D9D9D9" w:themeFill="background1" w:themeFillShade="D9"/>
            <w:vAlign w:val="center"/>
          </w:tcPr>
          <w:p w14:paraId="012A765A"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lastRenderedPageBreak/>
              <w:t>23</w:t>
            </w:r>
          </w:p>
        </w:tc>
        <w:tc>
          <w:tcPr>
            <w:tcW w:w="6210" w:type="dxa"/>
          </w:tcPr>
          <w:p w14:paraId="550B166A"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For phase 1 is it required to demonstrate platform performance across all three types of pathogens (viral, bacterial, and fungal) or is it acceptable to focus development and optimization on just one pathogen type?</w:t>
            </w:r>
          </w:p>
        </w:tc>
        <w:tc>
          <w:tcPr>
            <w:tcW w:w="6030" w:type="dxa"/>
          </w:tcPr>
          <w:p w14:paraId="2567B16F" w14:textId="77777777" w:rsidR="00CB7330" w:rsidRPr="002430BB" w:rsidRDefault="00CB7330" w:rsidP="00F50F69">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Offerors will propose surrogate targets for R&amp;D development during Phase 1. The Phase 1 capstone targets will be defined by USG and may include viral, bacterial, and/or fungal pathogens.</w:t>
            </w:r>
          </w:p>
        </w:tc>
      </w:tr>
      <w:tr w:rsidR="00CB7330" w:rsidRPr="002430BB" w14:paraId="3B5272FD" w14:textId="77777777" w:rsidTr="00F50F69">
        <w:trPr>
          <w:trHeight w:val="979"/>
          <w:jc w:val="center"/>
        </w:trPr>
        <w:tc>
          <w:tcPr>
            <w:tcW w:w="1345" w:type="dxa"/>
            <w:shd w:val="clear" w:color="auto" w:fill="D9D9D9" w:themeFill="background1" w:themeFillShade="D9"/>
            <w:vAlign w:val="center"/>
          </w:tcPr>
          <w:p w14:paraId="4D3D24FA"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24</w:t>
            </w:r>
          </w:p>
        </w:tc>
        <w:tc>
          <w:tcPr>
            <w:tcW w:w="6210" w:type="dxa"/>
          </w:tcPr>
          <w:p w14:paraId="3DC0687B"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 xml:space="preserve">How many submissions can a proposer be a part of? Will the number of submissions positively or negatively impact chances of </w:t>
            </w:r>
            <w:proofErr w:type="gramStart"/>
            <w:r w:rsidRPr="002430BB">
              <w:rPr>
                <w:rFonts w:eastAsia="Times New Roman" w:cs="Arial"/>
                <w:color w:val="000000"/>
                <w:kern w:val="0"/>
                <w14:ligatures w14:val="none"/>
              </w:rPr>
              <w:t>a competitive</w:t>
            </w:r>
            <w:proofErr w:type="gramEnd"/>
            <w:r w:rsidRPr="002430BB">
              <w:rPr>
                <w:rFonts w:eastAsia="Times New Roman" w:cs="Arial"/>
                <w:color w:val="000000"/>
                <w:kern w:val="0"/>
                <w14:ligatures w14:val="none"/>
              </w:rPr>
              <w:t xml:space="preserve"> submission?</w:t>
            </w:r>
          </w:p>
        </w:tc>
        <w:tc>
          <w:tcPr>
            <w:tcW w:w="6030" w:type="dxa"/>
          </w:tcPr>
          <w:p w14:paraId="19751279" w14:textId="77777777" w:rsidR="00CB7330" w:rsidRPr="002430BB" w:rsidRDefault="00CB7330" w:rsidP="00F50F69">
            <w:pPr>
              <w:spacing w:after="0" w:line="240" w:lineRule="auto"/>
              <w:ind w:right="101"/>
              <w:rPr>
                <w:rFonts w:eastAsia="Times New Roman" w:cs="Arial"/>
                <w:color w:val="000000"/>
                <w:kern w:val="0"/>
                <w14:ligatures w14:val="none"/>
              </w:rPr>
            </w:pPr>
            <w:r w:rsidRPr="00935554">
              <w:rPr>
                <w:rFonts w:eastAsia="Times New Roman" w:cs="Arial"/>
                <w:color w:val="000000"/>
                <w:kern w:val="0"/>
                <w14:ligatures w14:val="none"/>
              </w:rPr>
              <w:t>BARDA’s goal is to encourage a broad range of technical approaches and reduce overall program risk by avoiding over-reliance on a single partner. To that end, we are limiting the number of submissions that a proposer can be part of to a maximum of three (3). Participation in multiple submissions is neither advantageous nor disadvantageous; however, offerors should ensure proposed participation across multiple submissions does not introduce complications or obstacles in the ability to perform the proposed effort</w:t>
            </w:r>
            <w:r w:rsidRPr="001F0EF2">
              <w:rPr>
                <w:rFonts w:eastAsia="Times New Roman" w:cs="Arial"/>
                <w:i/>
                <w:iCs/>
                <w:color w:val="000000"/>
                <w:kern w:val="0"/>
                <w14:ligatures w14:val="none"/>
              </w:rPr>
              <w:t>.</w:t>
            </w:r>
          </w:p>
        </w:tc>
      </w:tr>
      <w:tr w:rsidR="00CB7330" w:rsidRPr="002430BB" w14:paraId="025574A2" w14:textId="77777777" w:rsidTr="00AD34BE">
        <w:trPr>
          <w:trHeight w:val="979"/>
          <w:jc w:val="center"/>
        </w:trPr>
        <w:tc>
          <w:tcPr>
            <w:tcW w:w="1345" w:type="dxa"/>
            <w:shd w:val="clear" w:color="auto" w:fill="D9D9D9" w:themeFill="background1" w:themeFillShade="D9"/>
            <w:vAlign w:val="center"/>
          </w:tcPr>
          <w:p w14:paraId="6512353D"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25</w:t>
            </w:r>
          </w:p>
        </w:tc>
        <w:tc>
          <w:tcPr>
            <w:tcW w:w="6210" w:type="dxa"/>
          </w:tcPr>
          <w:p w14:paraId="0691637E"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 xml:space="preserve">For the submission itself who takes the lead or is responsible for submitting the proposal when 2 or more companies are represented for a </w:t>
            </w:r>
            <w:proofErr w:type="gramStart"/>
            <w:r w:rsidRPr="002430BB">
              <w:rPr>
                <w:rFonts w:eastAsia="Times New Roman" w:cs="Arial"/>
                <w:color w:val="000000"/>
                <w:kern w:val="0"/>
                <w14:ligatures w14:val="none"/>
              </w:rPr>
              <w:t>proposal?</w:t>
            </w:r>
            <w:proofErr w:type="gramEnd"/>
            <w:r w:rsidRPr="002430BB">
              <w:rPr>
                <w:rFonts w:eastAsia="Times New Roman" w:cs="Arial"/>
                <w:color w:val="000000"/>
                <w:kern w:val="0"/>
                <w14:ligatures w14:val="none"/>
              </w:rPr>
              <w:t xml:space="preserve"> Do specific sections of the proposal need to be written by the partnering company or is the lead submitter allowed to paraphrase for them?</w:t>
            </w:r>
          </w:p>
        </w:tc>
        <w:tc>
          <w:tcPr>
            <w:tcW w:w="6030" w:type="dxa"/>
          </w:tcPr>
          <w:p w14:paraId="12A295B1" w14:textId="77777777" w:rsidR="00CB7330" w:rsidRPr="002430BB" w:rsidRDefault="00CB7330" w:rsidP="00F50F69">
            <w:pPr>
              <w:spacing w:after="0" w:line="240" w:lineRule="auto"/>
              <w:ind w:right="101"/>
              <w:rPr>
                <w:rFonts w:eastAsia="Times New Roman" w:cs="Arial"/>
                <w:color w:val="000000"/>
                <w:kern w:val="0"/>
                <w14:ligatures w14:val="none"/>
              </w:rPr>
            </w:pPr>
            <w:r w:rsidRPr="002430BB">
              <w:rPr>
                <w:rFonts w:eastAsia="Times New Roman" w:cs="Arial"/>
                <w:color w:val="000000"/>
                <w:kern w:val="0"/>
                <w14:ligatures w14:val="none"/>
              </w:rPr>
              <w:t xml:space="preserve">Proposals </w:t>
            </w:r>
            <w:r>
              <w:rPr>
                <w:rFonts w:eastAsia="Times New Roman" w:cs="Arial"/>
                <w:color w:val="000000"/>
                <w:kern w:val="0"/>
                <w14:ligatures w14:val="none"/>
              </w:rPr>
              <w:t>are to</w:t>
            </w:r>
            <w:r w:rsidRPr="002430BB">
              <w:rPr>
                <w:rFonts w:eastAsia="Times New Roman" w:cs="Arial"/>
                <w:color w:val="000000"/>
                <w:kern w:val="0"/>
                <w14:ligatures w14:val="none"/>
              </w:rPr>
              <w:t xml:space="preserve"> be submitted by a </w:t>
            </w:r>
            <w:r>
              <w:rPr>
                <w:rFonts w:eastAsia="Times New Roman" w:cs="Arial"/>
                <w:color w:val="000000"/>
                <w:kern w:val="0"/>
                <w14:ligatures w14:val="none"/>
              </w:rPr>
              <w:t xml:space="preserve">single </w:t>
            </w:r>
            <w:r w:rsidRPr="002430BB">
              <w:rPr>
                <w:rFonts w:eastAsia="Times New Roman" w:cs="Arial"/>
                <w:color w:val="000000"/>
                <w:kern w:val="0"/>
                <w14:ligatures w14:val="none"/>
              </w:rPr>
              <w:t xml:space="preserve">lead offeror </w:t>
            </w:r>
            <w:r>
              <w:rPr>
                <w:rFonts w:eastAsia="Times New Roman" w:cs="Arial"/>
                <w:color w:val="000000"/>
                <w:kern w:val="0"/>
                <w14:ligatures w14:val="none"/>
              </w:rPr>
              <w:t>with</w:t>
            </w:r>
            <w:r w:rsidRPr="002430BB">
              <w:rPr>
                <w:rFonts w:eastAsia="Times New Roman" w:cs="Arial"/>
                <w:color w:val="000000"/>
                <w:kern w:val="0"/>
                <w14:ligatures w14:val="none"/>
              </w:rPr>
              <w:t xml:space="preserve"> </w:t>
            </w:r>
            <w:proofErr w:type="gramStart"/>
            <w:r w:rsidRPr="002430BB">
              <w:rPr>
                <w:rFonts w:eastAsia="Times New Roman" w:cs="Arial"/>
                <w:color w:val="000000"/>
                <w:kern w:val="0"/>
                <w14:ligatures w14:val="none"/>
              </w:rPr>
              <w:t>teaming</w:t>
            </w:r>
            <w:proofErr w:type="gramEnd"/>
            <w:r w:rsidRPr="002430BB">
              <w:rPr>
                <w:rFonts w:eastAsia="Times New Roman" w:cs="Arial"/>
                <w:color w:val="000000"/>
                <w:kern w:val="0"/>
                <w14:ligatures w14:val="none"/>
              </w:rPr>
              <w:t xml:space="preserve"> partners </w:t>
            </w:r>
            <w:r>
              <w:rPr>
                <w:rFonts w:eastAsia="Times New Roman" w:cs="Arial"/>
                <w:color w:val="000000"/>
                <w:kern w:val="0"/>
                <w14:ligatures w14:val="none"/>
              </w:rPr>
              <w:t xml:space="preserve">listed </w:t>
            </w:r>
            <w:r w:rsidRPr="002430BB">
              <w:rPr>
                <w:rFonts w:eastAsia="Times New Roman" w:cs="Arial"/>
                <w:color w:val="000000"/>
                <w:kern w:val="0"/>
                <w14:ligatures w14:val="none"/>
              </w:rPr>
              <w:t xml:space="preserve">as subcontractors. </w:t>
            </w:r>
            <w:r>
              <w:rPr>
                <w:rFonts w:eastAsia="Times New Roman" w:cs="Arial"/>
                <w:color w:val="000000"/>
                <w:kern w:val="0"/>
                <w14:ligatures w14:val="none"/>
              </w:rPr>
              <w:t xml:space="preserve">Ultimately, the </w:t>
            </w:r>
            <w:proofErr w:type="gramStart"/>
            <w:r>
              <w:rPr>
                <w:rFonts w:eastAsia="Times New Roman" w:cs="Arial"/>
                <w:color w:val="000000"/>
                <w:kern w:val="0"/>
                <w14:ligatures w14:val="none"/>
              </w:rPr>
              <w:t>lead</w:t>
            </w:r>
            <w:proofErr w:type="gramEnd"/>
            <w:r>
              <w:rPr>
                <w:rFonts w:eastAsia="Times New Roman" w:cs="Arial"/>
                <w:color w:val="000000"/>
                <w:kern w:val="0"/>
                <w14:ligatures w14:val="none"/>
              </w:rPr>
              <w:t xml:space="preserve"> organization will be the one to receive and execute the RRPV Base Agreement and, if selected for award, resulting Project Agreement. </w:t>
            </w:r>
            <w:proofErr w:type="gramStart"/>
            <w:r>
              <w:rPr>
                <w:rFonts w:eastAsia="Times New Roman" w:cs="Arial"/>
                <w:color w:val="000000"/>
                <w:kern w:val="0"/>
                <w14:ligatures w14:val="none"/>
              </w:rPr>
              <w:t>That being said, you</w:t>
            </w:r>
            <w:proofErr w:type="gramEnd"/>
            <w:r>
              <w:rPr>
                <w:rFonts w:eastAsia="Times New Roman" w:cs="Arial"/>
                <w:color w:val="000000"/>
                <w:kern w:val="0"/>
                <w14:ligatures w14:val="none"/>
              </w:rPr>
              <w:t xml:space="preserve"> will need to decide amongst yourselves who will be the lead. </w:t>
            </w:r>
            <w:r w:rsidRPr="002430BB">
              <w:rPr>
                <w:rFonts w:eastAsia="Times New Roman" w:cs="Arial"/>
                <w:color w:val="000000"/>
                <w:kern w:val="0"/>
                <w14:ligatures w14:val="none"/>
              </w:rPr>
              <w:t>Responsibility for drafting the proposal should be determined collaboratively between the lead offeror and any teaming partners.</w:t>
            </w:r>
          </w:p>
        </w:tc>
      </w:tr>
      <w:tr w:rsidR="00CB7330" w:rsidRPr="002430BB" w14:paraId="361E32C4" w14:textId="77777777" w:rsidTr="00AD34BE">
        <w:trPr>
          <w:trHeight w:val="979"/>
          <w:jc w:val="center"/>
        </w:trPr>
        <w:tc>
          <w:tcPr>
            <w:tcW w:w="1345" w:type="dxa"/>
            <w:shd w:val="clear" w:color="auto" w:fill="D9D9D9" w:themeFill="background1" w:themeFillShade="D9"/>
            <w:vAlign w:val="center"/>
          </w:tcPr>
          <w:p w14:paraId="23680959"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26</w:t>
            </w:r>
          </w:p>
        </w:tc>
        <w:tc>
          <w:tcPr>
            <w:tcW w:w="6210" w:type="dxa"/>
          </w:tcPr>
          <w:p w14:paraId="693B7266"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For proposals with multiple entities do the submitting parties all have to agree to work together or will someone who solicits on the teaming page be considered as fair game for anyone to claim as a collaborator?</w:t>
            </w:r>
          </w:p>
        </w:tc>
        <w:tc>
          <w:tcPr>
            <w:tcW w:w="6030" w:type="dxa"/>
          </w:tcPr>
          <w:p w14:paraId="28A0A672" w14:textId="77777777" w:rsidR="00CB7330" w:rsidRPr="002430BB" w:rsidRDefault="00CB7330" w:rsidP="00F50F69">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P</w:t>
            </w:r>
            <w:r w:rsidRPr="002430BB">
              <w:rPr>
                <w:rFonts w:eastAsia="Times New Roman" w:cs="Arial"/>
                <w:color w:val="000000"/>
                <w:kern w:val="0"/>
                <w14:ligatures w14:val="none"/>
              </w:rPr>
              <w:t>arties will</w:t>
            </w:r>
            <w:r>
              <w:rPr>
                <w:rFonts w:eastAsia="Times New Roman" w:cs="Arial"/>
                <w:color w:val="000000"/>
                <w:kern w:val="0"/>
                <w14:ligatures w14:val="none"/>
              </w:rPr>
              <w:t xml:space="preserve"> need to</w:t>
            </w:r>
            <w:r w:rsidRPr="002430BB">
              <w:rPr>
                <w:rFonts w:eastAsia="Times New Roman" w:cs="Arial"/>
                <w:color w:val="000000"/>
                <w:kern w:val="0"/>
                <w14:ligatures w14:val="none"/>
              </w:rPr>
              <w:t xml:space="preserve"> mutually agree to work together</w:t>
            </w:r>
            <w:r>
              <w:rPr>
                <w:rFonts w:eastAsia="Times New Roman" w:cs="Arial"/>
                <w:color w:val="000000"/>
                <w:kern w:val="0"/>
                <w14:ligatures w14:val="none"/>
              </w:rPr>
              <w:t xml:space="preserve"> ahead of submission</w:t>
            </w:r>
            <w:r w:rsidRPr="002430BB">
              <w:rPr>
                <w:rFonts w:eastAsia="Times New Roman" w:cs="Arial"/>
                <w:color w:val="000000"/>
                <w:kern w:val="0"/>
                <w14:ligatures w14:val="none"/>
              </w:rPr>
              <w:t xml:space="preserve">. </w:t>
            </w:r>
          </w:p>
        </w:tc>
      </w:tr>
      <w:tr w:rsidR="00CB7330" w:rsidRPr="002430BB" w14:paraId="3A53B01B" w14:textId="77777777" w:rsidTr="00AD34BE">
        <w:trPr>
          <w:trHeight w:val="979"/>
          <w:jc w:val="center"/>
        </w:trPr>
        <w:tc>
          <w:tcPr>
            <w:tcW w:w="1345" w:type="dxa"/>
            <w:shd w:val="clear" w:color="auto" w:fill="D9D9D9" w:themeFill="background1" w:themeFillShade="D9"/>
            <w:vAlign w:val="center"/>
          </w:tcPr>
          <w:p w14:paraId="3F8E4A64"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27</w:t>
            </w:r>
          </w:p>
        </w:tc>
        <w:tc>
          <w:tcPr>
            <w:tcW w:w="6210" w:type="dxa"/>
          </w:tcPr>
          <w:p w14:paraId="50C8B937"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Our profile indicates that we do not have an active SAM ID (we do have a CAGE number) and need to apply for one. During the acquisition of Bethyl Laboratories by Fortis Life Sciences this appears to have been lost. Will we be able to still apply without a SAM ID or do we need one at this stage to move through the submission process? If so, how do we renew or request one?</w:t>
            </w:r>
          </w:p>
        </w:tc>
        <w:tc>
          <w:tcPr>
            <w:tcW w:w="6030" w:type="dxa"/>
          </w:tcPr>
          <w:p w14:paraId="3F76597C" w14:textId="77777777" w:rsidR="00CB7330" w:rsidRPr="002430BB" w:rsidRDefault="00CB7330" w:rsidP="00F50F69">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 xml:space="preserve">A UEI is not required </w:t>
            </w:r>
            <w:proofErr w:type="gramStart"/>
            <w:r>
              <w:rPr>
                <w:rFonts w:eastAsia="Times New Roman" w:cs="Arial"/>
                <w:color w:val="000000"/>
                <w:kern w:val="0"/>
                <w14:ligatures w14:val="none"/>
              </w:rPr>
              <w:t>in order to</w:t>
            </w:r>
            <w:proofErr w:type="gramEnd"/>
            <w:r>
              <w:rPr>
                <w:rFonts w:eastAsia="Times New Roman" w:cs="Arial"/>
                <w:color w:val="000000"/>
                <w:kern w:val="0"/>
                <w14:ligatures w14:val="none"/>
              </w:rPr>
              <w:t xml:space="preserve"> respond to the RPP. If selected for award, t</w:t>
            </w:r>
            <w:r w:rsidRPr="002430BB">
              <w:rPr>
                <w:rFonts w:eastAsia="Times New Roman" w:cs="Arial"/>
                <w:color w:val="000000"/>
                <w:kern w:val="0"/>
                <w14:ligatures w14:val="none"/>
              </w:rPr>
              <w:t>he RRPV member will be required to obtain a Unique Entity Identifier (UEI) from SAM.gov prior to award of a Project Award.</w:t>
            </w:r>
            <w:r>
              <w:rPr>
                <w:rFonts w:eastAsia="Times New Roman" w:cs="Arial"/>
                <w:color w:val="000000"/>
                <w:kern w:val="0"/>
                <w14:ligatures w14:val="none"/>
              </w:rPr>
              <w:t xml:space="preserve"> </w:t>
            </w:r>
            <w:r w:rsidRPr="002430BB">
              <w:rPr>
                <w:rFonts w:eastAsia="Times New Roman" w:cs="Arial"/>
                <w:color w:val="000000"/>
                <w:kern w:val="0"/>
                <w14:ligatures w14:val="none"/>
              </w:rPr>
              <w:t>A full SAM.gov registration is not required. See www.sam.gov for more information.</w:t>
            </w:r>
          </w:p>
        </w:tc>
      </w:tr>
      <w:tr w:rsidR="00CB7330" w:rsidRPr="002430BB" w14:paraId="5289769B" w14:textId="77777777" w:rsidTr="00AD34BE">
        <w:trPr>
          <w:trHeight w:val="979"/>
          <w:jc w:val="center"/>
        </w:trPr>
        <w:tc>
          <w:tcPr>
            <w:tcW w:w="1345" w:type="dxa"/>
            <w:shd w:val="clear" w:color="auto" w:fill="D9D9D9" w:themeFill="background1" w:themeFillShade="D9"/>
            <w:vAlign w:val="center"/>
          </w:tcPr>
          <w:p w14:paraId="3797CF48"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lastRenderedPageBreak/>
              <w:t>28</w:t>
            </w:r>
          </w:p>
        </w:tc>
        <w:tc>
          <w:tcPr>
            <w:tcW w:w="6210" w:type="dxa"/>
          </w:tcPr>
          <w:p w14:paraId="55F7BDF8"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I’d like to submit a Quad Chart for the Teaming section of the RRPV website but the formats I saw appear to be different than the one listed in the RPP. Is there a separate Quad Chart format for the teaming section? If so, where can I find it?</w:t>
            </w:r>
          </w:p>
        </w:tc>
        <w:tc>
          <w:tcPr>
            <w:tcW w:w="6030" w:type="dxa"/>
          </w:tcPr>
          <w:p w14:paraId="1C3FB182" w14:textId="77777777" w:rsidR="00CB7330" w:rsidRPr="002430BB" w:rsidRDefault="00CB7330" w:rsidP="00F50F69">
            <w:pPr>
              <w:spacing w:after="0" w:line="240" w:lineRule="auto"/>
              <w:ind w:right="101"/>
              <w:rPr>
                <w:rFonts w:eastAsia="Times New Roman" w:cs="Arial"/>
                <w:color w:val="000000"/>
                <w:kern w:val="0"/>
                <w14:ligatures w14:val="none"/>
              </w:rPr>
            </w:pPr>
            <w:r w:rsidRPr="002430BB">
              <w:rPr>
                <w:rFonts w:eastAsia="Times New Roman" w:cs="Arial"/>
                <w:color w:val="000000"/>
                <w:kern w:val="0"/>
                <w14:ligatures w14:val="none"/>
              </w:rPr>
              <w:t xml:space="preserve">The quad chart template can be found on the RRPV Member’s Only site here </w:t>
            </w:r>
            <w:hyperlink r:id="rId8" w:history="1">
              <w:r w:rsidRPr="002430BB">
                <w:rPr>
                  <w:rStyle w:val="Hyperlink"/>
                  <w:rFonts w:eastAsia="Times New Roman" w:cs="Arial"/>
                  <w:kern w:val="0"/>
                  <w14:ligatures w14:val="none"/>
                </w:rPr>
                <w:t>https://private.rrpv.org/teaming/</w:t>
              </w:r>
            </w:hyperlink>
            <w:r w:rsidRPr="002430BB">
              <w:rPr>
                <w:rFonts w:eastAsia="Times New Roman" w:cs="Arial"/>
                <w:color w:val="000000"/>
                <w:kern w:val="0"/>
                <w14:ligatures w14:val="none"/>
              </w:rPr>
              <w:t xml:space="preserve"> above the “RRPV Teaming Profiles” table.</w:t>
            </w:r>
          </w:p>
        </w:tc>
      </w:tr>
      <w:tr w:rsidR="00CB7330" w:rsidRPr="002430BB" w14:paraId="4121636E" w14:textId="77777777" w:rsidTr="00F50F69">
        <w:trPr>
          <w:trHeight w:val="979"/>
          <w:jc w:val="center"/>
        </w:trPr>
        <w:tc>
          <w:tcPr>
            <w:tcW w:w="1345" w:type="dxa"/>
            <w:shd w:val="clear" w:color="auto" w:fill="D9D9D9" w:themeFill="background1" w:themeFillShade="D9"/>
            <w:vAlign w:val="center"/>
          </w:tcPr>
          <w:p w14:paraId="7E9802DA"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29</w:t>
            </w:r>
          </w:p>
        </w:tc>
        <w:tc>
          <w:tcPr>
            <w:tcW w:w="6210" w:type="dxa"/>
          </w:tcPr>
          <w:p w14:paraId="28B270A3"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When will the specific targets for the Capstone test be shared?</w:t>
            </w:r>
          </w:p>
        </w:tc>
        <w:tc>
          <w:tcPr>
            <w:tcW w:w="6030" w:type="dxa"/>
          </w:tcPr>
          <w:p w14:paraId="6097F867" w14:textId="77777777" w:rsidR="00CB7330" w:rsidRPr="002430BB" w:rsidRDefault="00CB7330" w:rsidP="00F50F69">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Please see response to # 13.</w:t>
            </w:r>
          </w:p>
        </w:tc>
      </w:tr>
      <w:tr w:rsidR="00CB7330" w:rsidRPr="002430BB" w14:paraId="742EA95B" w14:textId="77777777" w:rsidTr="00F50F69">
        <w:trPr>
          <w:trHeight w:val="773"/>
          <w:jc w:val="center"/>
        </w:trPr>
        <w:tc>
          <w:tcPr>
            <w:tcW w:w="1345" w:type="dxa"/>
            <w:shd w:val="clear" w:color="auto" w:fill="D9D9D9" w:themeFill="background1" w:themeFillShade="D9"/>
            <w:vAlign w:val="center"/>
          </w:tcPr>
          <w:p w14:paraId="38F04EE6"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30</w:t>
            </w:r>
          </w:p>
        </w:tc>
        <w:tc>
          <w:tcPr>
            <w:tcW w:w="6210" w:type="dxa"/>
          </w:tcPr>
          <w:p w14:paraId="760FA285"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What type(s) of genomic sequence information does the government plan to provide for the Capstone and Sprint tests, and how will sequence information be shared/transferred to performers?</w:t>
            </w:r>
          </w:p>
        </w:tc>
        <w:tc>
          <w:tcPr>
            <w:tcW w:w="6030" w:type="dxa"/>
          </w:tcPr>
          <w:p w14:paraId="50DAC7C5" w14:textId="77777777" w:rsidR="00CB7330" w:rsidRPr="002430BB" w:rsidRDefault="00CB7330" w:rsidP="00F50F69">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Please see response to # 19.</w:t>
            </w:r>
          </w:p>
        </w:tc>
      </w:tr>
      <w:tr w:rsidR="00CB7330" w:rsidRPr="002430BB" w14:paraId="25317E71" w14:textId="77777777" w:rsidTr="00F50F69">
        <w:trPr>
          <w:trHeight w:val="979"/>
          <w:jc w:val="center"/>
        </w:trPr>
        <w:tc>
          <w:tcPr>
            <w:tcW w:w="1345" w:type="dxa"/>
            <w:shd w:val="clear" w:color="auto" w:fill="D9D9D9" w:themeFill="background1" w:themeFillShade="D9"/>
            <w:vAlign w:val="center"/>
          </w:tcPr>
          <w:p w14:paraId="3D23EB44"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31</w:t>
            </w:r>
          </w:p>
        </w:tc>
        <w:tc>
          <w:tcPr>
            <w:tcW w:w="6210" w:type="dxa"/>
          </w:tcPr>
          <w:p w14:paraId="26055610"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 xml:space="preserve">How will the functional performance be evaluated in the Capstone? Will a third party be involved in assessing performance or should bidders propose a standardized approach to characterize performance?  </w:t>
            </w:r>
          </w:p>
        </w:tc>
        <w:tc>
          <w:tcPr>
            <w:tcW w:w="6030" w:type="dxa"/>
          </w:tcPr>
          <w:p w14:paraId="35C36CCB" w14:textId="77777777" w:rsidR="00CB7330" w:rsidRPr="002430BB" w:rsidRDefault="00CB7330" w:rsidP="00F50F69">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Phase 1 Capstone functional performance testing will be carried out by the performer. Offerors are encouraged to propose a standardized approach to characterize performance.</w:t>
            </w:r>
          </w:p>
        </w:tc>
      </w:tr>
      <w:tr w:rsidR="00CB7330" w:rsidRPr="002430BB" w14:paraId="6041FE88" w14:textId="77777777" w:rsidTr="00F50F69">
        <w:trPr>
          <w:trHeight w:val="979"/>
          <w:jc w:val="center"/>
        </w:trPr>
        <w:tc>
          <w:tcPr>
            <w:tcW w:w="1345" w:type="dxa"/>
            <w:shd w:val="clear" w:color="auto" w:fill="D9D9D9" w:themeFill="background1" w:themeFillShade="D9"/>
            <w:vAlign w:val="center"/>
          </w:tcPr>
          <w:p w14:paraId="76CC6E98"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32</w:t>
            </w:r>
          </w:p>
        </w:tc>
        <w:tc>
          <w:tcPr>
            <w:tcW w:w="6210" w:type="dxa"/>
          </w:tcPr>
          <w:p w14:paraId="1BBBAA3E"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Will the bidder or BARDA decide on the “standard assay format” most suitable to demonstrate performance for the Capstone and Sprint?  Will the format be LFA?</w:t>
            </w:r>
          </w:p>
        </w:tc>
        <w:tc>
          <w:tcPr>
            <w:tcW w:w="6030" w:type="dxa"/>
          </w:tcPr>
          <w:p w14:paraId="097ECB18" w14:textId="77777777" w:rsidR="00CB7330" w:rsidRPr="002430BB" w:rsidRDefault="00CB7330" w:rsidP="00F50F69">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BARDA will determine the final standard approach. More information will be provided to offerors invited to submit a Proposal. But offerors are encouraged to propose a standardized approach to characterize performance.</w:t>
            </w:r>
          </w:p>
        </w:tc>
      </w:tr>
      <w:tr w:rsidR="00CB7330" w:rsidRPr="002430BB" w14:paraId="17D26329" w14:textId="77777777" w:rsidTr="00F50F69">
        <w:trPr>
          <w:trHeight w:val="979"/>
          <w:jc w:val="center"/>
        </w:trPr>
        <w:tc>
          <w:tcPr>
            <w:tcW w:w="1345" w:type="dxa"/>
            <w:shd w:val="clear" w:color="auto" w:fill="D9D9D9" w:themeFill="background1" w:themeFillShade="D9"/>
            <w:vAlign w:val="center"/>
          </w:tcPr>
          <w:p w14:paraId="5ECE84B1"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33</w:t>
            </w:r>
          </w:p>
        </w:tc>
        <w:tc>
          <w:tcPr>
            <w:tcW w:w="6210" w:type="dxa"/>
          </w:tcPr>
          <w:p w14:paraId="33C5599C"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 xml:space="preserve"> What binder production scale is required in the Capstone and Sprint?  How many tests will be run (e.g., 100, 1000, 10,000)?</w:t>
            </w:r>
          </w:p>
        </w:tc>
        <w:tc>
          <w:tcPr>
            <w:tcW w:w="6030" w:type="dxa"/>
          </w:tcPr>
          <w:p w14:paraId="350B914F" w14:textId="77777777" w:rsidR="00CB7330" w:rsidRPr="002430BB" w:rsidRDefault="00CB7330" w:rsidP="00F50F69">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Please see response to #7 and #32.</w:t>
            </w:r>
          </w:p>
        </w:tc>
      </w:tr>
      <w:tr w:rsidR="00CB7330" w:rsidRPr="002430BB" w14:paraId="0E144B0A" w14:textId="77777777" w:rsidTr="00F50F69">
        <w:trPr>
          <w:trHeight w:val="979"/>
          <w:jc w:val="center"/>
        </w:trPr>
        <w:tc>
          <w:tcPr>
            <w:tcW w:w="1345" w:type="dxa"/>
            <w:shd w:val="clear" w:color="auto" w:fill="D9D9D9" w:themeFill="background1" w:themeFillShade="D9"/>
            <w:vAlign w:val="center"/>
          </w:tcPr>
          <w:p w14:paraId="7D32DF1A"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34</w:t>
            </w:r>
          </w:p>
        </w:tc>
        <w:tc>
          <w:tcPr>
            <w:tcW w:w="6210" w:type="dxa"/>
          </w:tcPr>
          <w:p w14:paraId="23A5E607"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Will all performers be expected to start the Capstone and/or the Sprint at the same time?</w:t>
            </w:r>
          </w:p>
        </w:tc>
        <w:tc>
          <w:tcPr>
            <w:tcW w:w="6030" w:type="dxa"/>
          </w:tcPr>
          <w:p w14:paraId="2E765E81" w14:textId="77777777" w:rsidR="00CB7330" w:rsidRPr="002430BB" w:rsidRDefault="00CB7330" w:rsidP="00F50F69">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 xml:space="preserve">Offerors should propose schedules based on their proposed work.  </w:t>
            </w:r>
          </w:p>
        </w:tc>
      </w:tr>
      <w:tr w:rsidR="00CB7330" w:rsidRPr="002430BB" w14:paraId="46755B0D" w14:textId="77777777" w:rsidTr="00F50F69">
        <w:trPr>
          <w:trHeight w:val="979"/>
          <w:jc w:val="center"/>
        </w:trPr>
        <w:tc>
          <w:tcPr>
            <w:tcW w:w="1345" w:type="dxa"/>
            <w:shd w:val="clear" w:color="auto" w:fill="D9D9D9" w:themeFill="background1" w:themeFillShade="D9"/>
            <w:vAlign w:val="center"/>
          </w:tcPr>
          <w:p w14:paraId="3B8F7FBF" w14:textId="77777777" w:rsidR="00CB7330" w:rsidRPr="002430BB" w:rsidRDefault="00CB7330" w:rsidP="00F50F69">
            <w:pPr>
              <w:spacing w:after="0" w:line="240" w:lineRule="auto"/>
              <w:jc w:val="center"/>
              <w:rPr>
                <w:rFonts w:eastAsia="Times New Roman" w:cs="Arial"/>
                <w:color w:val="000000"/>
                <w:kern w:val="0"/>
                <w14:ligatures w14:val="none"/>
              </w:rPr>
            </w:pPr>
            <w:r w:rsidRPr="002430BB">
              <w:rPr>
                <w:rFonts w:eastAsia="Times New Roman" w:cs="Arial"/>
                <w:color w:val="000000"/>
                <w:kern w:val="0"/>
                <w14:ligatures w14:val="none"/>
              </w:rPr>
              <w:t>35</w:t>
            </w:r>
          </w:p>
        </w:tc>
        <w:tc>
          <w:tcPr>
            <w:tcW w:w="6210" w:type="dxa"/>
          </w:tcPr>
          <w:p w14:paraId="0B24964F" w14:textId="77777777" w:rsidR="00CB7330" w:rsidRPr="002430BB" w:rsidRDefault="00CB7330" w:rsidP="00F50F69">
            <w:pPr>
              <w:rPr>
                <w:rFonts w:eastAsia="Times New Roman" w:cs="Arial"/>
                <w:color w:val="000000"/>
                <w:kern w:val="0"/>
                <w14:ligatures w14:val="none"/>
              </w:rPr>
            </w:pPr>
            <w:r w:rsidRPr="002430BB">
              <w:rPr>
                <w:rFonts w:eastAsia="Times New Roman" w:cs="Arial"/>
                <w:color w:val="000000"/>
                <w:kern w:val="0"/>
                <w14:ligatures w14:val="none"/>
              </w:rPr>
              <w:t>Is the intent that the immunoassay-ready reagents generated using the rapid antibody/binder platform (developed under the RAPID program</w:t>
            </w:r>
            <w:proofErr w:type="gramStart"/>
            <w:r w:rsidRPr="002430BB">
              <w:rPr>
                <w:rFonts w:eastAsia="Times New Roman" w:cs="Arial"/>
                <w:color w:val="000000"/>
                <w:kern w:val="0"/>
                <w14:ligatures w14:val="none"/>
              </w:rPr>
              <w:t>) are</w:t>
            </w:r>
            <w:proofErr w:type="gramEnd"/>
            <w:r w:rsidRPr="002430BB">
              <w:rPr>
                <w:rFonts w:eastAsia="Times New Roman" w:cs="Arial"/>
                <w:color w:val="000000"/>
                <w:kern w:val="0"/>
                <w14:ligatures w14:val="none"/>
              </w:rPr>
              <w:t xml:space="preserve"> ultimately manufactured by a RAPID performer for distribution to diagnostic manufacturers for use in </w:t>
            </w:r>
            <w:r w:rsidRPr="002430BB">
              <w:rPr>
                <w:rFonts w:eastAsia="Times New Roman" w:cs="Arial"/>
                <w:color w:val="000000"/>
                <w:kern w:val="0"/>
                <w14:ligatures w14:val="none"/>
              </w:rPr>
              <w:lastRenderedPageBreak/>
              <w:t>diagnostic immunoassay-based devices? Or is the intent to tech transfer the rapid antibody/binder platform (developed under the RAPID program) to a separate manufacturer to produce the immunoassay-ready reagents?</w:t>
            </w:r>
          </w:p>
        </w:tc>
        <w:tc>
          <w:tcPr>
            <w:tcW w:w="6030" w:type="dxa"/>
          </w:tcPr>
          <w:p w14:paraId="15A718F6" w14:textId="77777777" w:rsidR="00CB7330" w:rsidRPr="002430BB" w:rsidRDefault="00CB7330" w:rsidP="00F50F69">
            <w:pPr>
              <w:spacing w:after="0" w:line="240" w:lineRule="auto"/>
              <w:ind w:right="101"/>
              <w:rPr>
                <w:rFonts w:eastAsia="Times New Roman" w:cs="Arial"/>
                <w:color w:val="000000"/>
                <w:kern w:val="0"/>
                <w14:ligatures w14:val="none"/>
              </w:rPr>
            </w:pPr>
            <w:r w:rsidRPr="00FA4D6F">
              <w:rPr>
                <w:rFonts w:eastAsia="Times New Roman" w:cs="Arial"/>
                <w:color w:val="000000"/>
                <w:kern w:val="0"/>
                <w14:ligatures w14:val="none"/>
              </w:rPr>
              <w:lastRenderedPageBreak/>
              <w:t>It is up to the performer to propose the most appropriate approach, whether direct manufacturing or technology transfer, as part of a clear and feasible path to GMP production and distribution.</w:t>
            </w:r>
          </w:p>
        </w:tc>
      </w:tr>
      <w:tr w:rsidR="00CB7330" w:rsidRPr="002430BB" w14:paraId="1A3743A5" w14:textId="77777777" w:rsidTr="00F50F69">
        <w:trPr>
          <w:trHeight w:val="979"/>
          <w:jc w:val="center"/>
        </w:trPr>
        <w:tc>
          <w:tcPr>
            <w:tcW w:w="1345" w:type="dxa"/>
            <w:shd w:val="clear" w:color="auto" w:fill="D9D9D9" w:themeFill="background1" w:themeFillShade="D9"/>
            <w:vAlign w:val="center"/>
          </w:tcPr>
          <w:p w14:paraId="1F32D8B7" w14:textId="77777777" w:rsidR="00CB7330" w:rsidRPr="002430BB" w:rsidRDefault="00CB7330" w:rsidP="00F50F69">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36</w:t>
            </w:r>
          </w:p>
        </w:tc>
        <w:tc>
          <w:tcPr>
            <w:tcW w:w="6210" w:type="dxa"/>
          </w:tcPr>
          <w:p w14:paraId="7CB0B9E5" w14:textId="77777777" w:rsidR="00CB7330" w:rsidRDefault="00CB7330" w:rsidP="00F50F69">
            <w:pPr>
              <w:contextualSpacing/>
              <w:rPr>
                <w:rFonts w:eastAsia="Times New Roman" w:cs="Arial"/>
                <w:color w:val="000000"/>
                <w:kern w:val="0"/>
                <w14:ligatures w14:val="none"/>
              </w:rPr>
            </w:pPr>
            <w:r>
              <w:rPr>
                <w:rFonts w:eastAsia="Times New Roman" w:cs="Arial"/>
                <w:color w:val="000000"/>
                <w:kern w:val="0"/>
                <w14:ligatures w14:val="none"/>
              </w:rPr>
              <w:t>Will pre-existing proprietary AI/ML platform technology,</w:t>
            </w:r>
          </w:p>
          <w:p w14:paraId="22D88918" w14:textId="77777777" w:rsidR="00CB7330" w:rsidRDefault="00CB7330" w:rsidP="00F50F69">
            <w:pPr>
              <w:contextualSpacing/>
              <w:rPr>
                <w:rFonts w:eastAsia="Times New Roman" w:cs="Arial"/>
                <w:color w:val="000000"/>
                <w:kern w:val="0"/>
                <w14:ligatures w14:val="none"/>
              </w:rPr>
            </w:pPr>
            <w:r>
              <w:rPr>
                <w:rFonts w:eastAsia="Times New Roman" w:cs="Arial"/>
                <w:color w:val="000000"/>
                <w:kern w:val="0"/>
                <w14:ligatures w14:val="none"/>
              </w:rPr>
              <w:t>algorithms, models, and associated software developed</w:t>
            </w:r>
          </w:p>
          <w:p w14:paraId="68101DC8" w14:textId="77777777" w:rsidR="00CB7330" w:rsidRDefault="00CB7330" w:rsidP="00F50F69">
            <w:pPr>
              <w:contextualSpacing/>
              <w:rPr>
                <w:rFonts w:eastAsia="Times New Roman" w:cs="Arial"/>
                <w:color w:val="000000"/>
                <w:kern w:val="0"/>
                <w14:ligatures w14:val="none"/>
              </w:rPr>
            </w:pPr>
            <w:r>
              <w:rPr>
                <w:rFonts w:eastAsia="Times New Roman" w:cs="Arial"/>
                <w:color w:val="000000"/>
                <w:kern w:val="0"/>
                <w14:ligatures w14:val="none"/>
              </w:rPr>
              <w:t>independently before and outside of this program RRP effort be</w:t>
            </w:r>
          </w:p>
          <w:p w14:paraId="4D53671C" w14:textId="77777777" w:rsidR="00CB7330" w:rsidRPr="002430BB" w:rsidRDefault="00CB7330" w:rsidP="00F50F69">
            <w:pPr>
              <w:rPr>
                <w:rFonts w:eastAsia="Times New Roman" w:cs="Arial"/>
                <w:color w:val="000000"/>
                <w:kern w:val="0"/>
                <w14:ligatures w14:val="none"/>
              </w:rPr>
            </w:pPr>
            <w:r>
              <w:rPr>
                <w:rFonts w:eastAsia="Times New Roman" w:cs="Arial"/>
                <w:color w:val="000000"/>
                <w:kern w:val="0"/>
                <w14:ligatures w14:val="none"/>
              </w:rPr>
              <w:t>eligible for exclusion from the unlimited data rights requirement, provided such restrictions are properly asserted in Section 7 of the Abstract?</w:t>
            </w:r>
          </w:p>
        </w:tc>
        <w:tc>
          <w:tcPr>
            <w:tcW w:w="6030" w:type="dxa"/>
          </w:tcPr>
          <w:p w14:paraId="13A774C4" w14:textId="77777777" w:rsidR="00CB7330" w:rsidRPr="002430BB" w:rsidRDefault="00CB7330" w:rsidP="00F50F69">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It is anticipated that anything developed and delivered under this proposed effort would be delivered to the Government with unlimited data rights unless otherwise specified in Attachment 1, Abstract, and agreed to by the Government. All proposed data rights are subject to Government review and approval. Rights in technical data agreed to by the Government will be incorporated into the Project Award.</w:t>
            </w:r>
          </w:p>
        </w:tc>
      </w:tr>
      <w:tr w:rsidR="00CB7330" w:rsidRPr="002430BB" w14:paraId="35D97F97" w14:textId="77777777" w:rsidTr="00F50F69">
        <w:trPr>
          <w:trHeight w:val="979"/>
          <w:jc w:val="center"/>
        </w:trPr>
        <w:tc>
          <w:tcPr>
            <w:tcW w:w="1345" w:type="dxa"/>
            <w:shd w:val="clear" w:color="auto" w:fill="D9D9D9" w:themeFill="background1" w:themeFillShade="D9"/>
            <w:vAlign w:val="center"/>
          </w:tcPr>
          <w:p w14:paraId="552ACC82" w14:textId="77777777" w:rsidR="00CB7330" w:rsidRPr="002430BB" w:rsidRDefault="00CB7330" w:rsidP="00F50F69">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37</w:t>
            </w:r>
          </w:p>
        </w:tc>
        <w:tc>
          <w:tcPr>
            <w:tcW w:w="6210" w:type="dxa"/>
          </w:tcPr>
          <w:p w14:paraId="65F48093" w14:textId="77777777" w:rsidR="00CB7330" w:rsidRPr="002430BB" w:rsidRDefault="00CB7330" w:rsidP="00F50F69">
            <w:pPr>
              <w:rPr>
                <w:rFonts w:eastAsia="Times New Roman" w:cs="Arial"/>
                <w:color w:val="000000"/>
                <w:kern w:val="0"/>
                <w14:ligatures w14:val="none"/>
              </w:rPr>
            </w:pPr>
            <w:r>
              <w:rPr>
                <w:rFonts w:eastAsia="Times New Roman" w:cs="Arial"/>
                <w:color w:val="000000"/>
                <w:kern w:val="0"/>
                <w14:ligatures w14:val="none"/>
              </w:rPr>
              <w:t>Is there a target for the quantity of purified antibody created as part of the capstone or sprint test?</w:t>
            </w:r>
          </w:p>
        </w:tc>
        <w:tc>
          <w:tcPr>
            <w:tcW w:w="6030" w:type="dxa"/>
          </w:tcPr>
          <w:p w14:paraId="6FF57013" w14:textId="77777777" w:rsidR="00CB7330" w:rsidRPr="002430BB" w:rsidRDefault="00CB7330" w:rsidP="00F50F69">
            <w:pPr>
              <w:spacing w:after="0" w:line="240" w:lineRule="auto"/>
              <w:ind w:right="101"/>
              <w:rPr>
                <w:rFonts w:eastAsia="Times New Roman" w:cs="Arial"/>
                <w:color w:val="000000"/>
                <w:kern w:val="0"/>
                <w14:ligatures w14:val="none"/>
              </w:rPr>
            </w:pPr>
            <w:r>
              <w:rPr>
                <w:rFonts w:eastAsia="Times New Roman" w:cs="Arial"/>
                <w:color w:val="000000"/>
                <w:kern w:val="0"/>
                <w14:ligatures w14:val="none"/>
              </w:rPr>
              <w:t>Please see response to # 7.</w:t>
            </w:r>
          </w:p>
        </w:tc>
      </w:tr>
      <w:tr w:rsidR="00CB7330" w:rsidRPr="002430BB" w14:paraId="0C3202A0" w14:textId="77777777" w:rsidTr="00F50F69">
        <w:trPr>
          <w:trHeight w:val="979"/>
          <w:jc w:val="center"/>
        </w:trPr>
        <w:tc>
          <w:tcPr>
            <w:tcW w:w="1345" w:type="dxa"/>
            <w:shd w:val="clear" w:color="auto" w:fill="D9D9D9" w:themeFill="background1" w:themeFillShade="D9"/>
            <w:vAlign w:val="center"/>
          </w:tcPr>
          <w:p w14:paraId="740092E7" w14:textId="77777777" w:rsidR="00CB7330" w:rsidRPr="002430BB" w:rsidRDefault="00CB7330" w:rsidP="00F50F69">
            <w:pPr>
              <w:spacing w:after="0" w:line="240" w:lineRule="auto"/>
              <w:jc w:val="center"/>
              <w:rPr>
                <w:rFonts w:eastAsia="Times New Roman" w:cs="Arial"/>
                <w:color w:val="000000"/>
                <w:kern w:val="0"/>
                <w14:ligatures w14:val="none"/>
              </w:rPr>
            </w:pPr>
            <w:r>
              <w:rPr>
                <w:rFonts w:eastAsia="Times New Roman" w:cs="Arial"/>
                <w:color w:val="000000"/>
                <w:kern w:val="0"/>
                <w14:ligatures w14:val="none"/>
              </w:rPr>
              <w:t>38</w:t>
            </w:r>
          </w:p>
        </w:tc>
        <w:tc>
          <w:tcPr>
            <w:tcW w:w="6210" w:type="dxa"/>
          </w:tcPr>
          <w:p w14:paraId="551099F5" w14:textId="77777777" w:rsidR="00CB7330" w:rsidRPr="002430BB" w:rsidRDefault="00CB7330" w:rsidP="00F50F69">
            <w:pPr>
              <w:rPr>
                <w:rFonts w:eastAsia="Times New Roman" w:cs="Arial"/>
                <w:color w:val="000000"/>
                <w:kern w:val="0"/>
                <w14:ligatures w14:val="none"/>
              </w:rPr>
            </w:pPr>
            <w:r w:rsidRPr="00B75E0E">
              <w:rPr>
                <w:rFonts w:eastAsia="Times New Roman" w:cs="Arial"/>
                <w:color w:val="000000"/>
                <w:kern w:val="0"/>
                <w14:ligatures w14:val="none"/>
              </w:rPr>
              <w:t>Concerning the readiness of the platform, does it need to be ready and immediately deployable for any target or are you also interested in something that is still improving and under development and supported by preliminary data and publications?</w:t>
            </w:r>
          </w:p>
        </w:tc>
        <w:tc>
          <w:tcPr>
            <w:tcW w:w="6030" w:type="dxa"/>
          </w:tcPr>
          <w:p w14:paraId="78EF3786" w14:textId="77777777" w:rsidR="00CB7330" w:rsidRPr="002430BB" w:rsidRDefault="00CB7330" w:rsidP="00F50F69">
            <w:pPr>
              <w:spacing w:after="0" w:line="240" w:lineRule="auto"/>
              <w:ind w:right="101"/>
              <w:rPr>
                <w:rFonts w:eastAsia="Times New Roman" w:cs="Arial"/>
                <w:color w:val="000000"/>
                <w:kern w:val="0"/>
                <w14:ligatures w14:val="none"/>
              </w:rPr>
            </w:pPr>
            <w:r w:rsidRPr="006C6540">
              <w:rPr>
                <w:rFonts w:eastAsia="Times New Roman" w:cs="Arial"/>
                <w:color w:val="000000"/>
                <w:kern w:val="0"/>
                <w14:ligatures w14:val="none"/>
              </w:rPr>
              <w:t xml:space="preserve">We are open to both ready-to-deploy solutions and those still under development, and will evaluate each based on </w:t>
            </w:r>
            <w:proofErr w:type="gramStart"/>
            <w:r w:rsidRPr="006C6540">
              <w:rPr>
                <w:rFonts w:eastAsia="Times New Roman" w:cs="Arial"/>
                <w:color w:val="000000"/>
                <w:kern w:val="0"/>
                <w14:ligatures w14:val="none"/>
              </w:rPr>
              <w:t>its</w:t>
            </w:r>
            <w:proofErr w:type="gramEnd"/>
            <w:r w:rsidRPr="006C6540">
              <w:rPr>
                <w:rFonts w:eastAsia="Times New Roman" w:cs="Arial"/>
                <w:color w:val="000000"/>
                <w:kern w:val="0"/>
                <w14:ligatures w14:val="none"/>
              </w:rPr>
              <w:t xml:space="preserve"> maturity and the likelihood of successful execution within the proposed schedule as supported by the provided data.</w:t>
            </w:r>
          </w:p>
        </w:tc>
      </w:tr>
    </w:tbl>
    <w:p w14:paraId="759B59D0" w14:textId="77777777" w:rsidR="00CB7330" w:rsidRDefault="00CB7330" w:rsidP="00CB7330"/>
    <w:p w14:paraId="63D16869" w14:textId="77777777" w:rsidR="00CB7330" w:rsidRPr="00D15BAD" w:rsidRDefault="00CB7330" w:rsidP="00CB7330"/>
    <w:p w14:paraId="68388F28" w14:textId="77777777" w:rsidR="00CB7330" w:rsidRDefault="00CB7330"/>
    <w:sectPr w:rsidR="00CB7330" w:rsidSect="00CB733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30"/>
    <w:rsid w:val="0085439C"/>
    <w:rsid w:val="00926DF6"/>
    <w:rsid w:val="00A15114"/>
    <w:rsid w:val="00AD34BE"/>
    <w:rsid w:val="00CB7330"/>
    <w:rsid w:val="00DA7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D1D28"/>
  <w15:chartTrackingRefBased/>
  <w15:docId w15:val="{BCEF14B9-94DD-41D8-A3BC-0A42B185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330"/>
    <w:rPr>
      <w:kern w:val="2"/>
      <w14:ligatures w14:val="standardContextual"/>
    </w:rPr>
  </w:style>
  <w:style w:type="paragraph" w:styleId="Heading1">
    <w:name w:val="heading 1"/>
    <w:basedOn w:val="Normal"/>
    <w:next w:val="Normal"/>
    <w:link w:val="Heading1Char"/>
    <w:uiPriority w:val="9"/>
    <w:qFormat/>
    <w:rsid w:val="00CB7330"/>
    <w:pPr>
      <w:keepNext/>
      <w:keepLines/>
      <w:spacing w:before="360" w:after="80"/>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CB7330"/>
    <w:pPr>
      <w:keepNext/>
      <w:keepLines/>
      <w:spacing w:before="160" w:after="80"/>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CB7330"/>
    <w:pPr>
      <w:keepNext/>
      <w:keepLines/>
      <w:spacing w:before="160" w:after="80"/>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CB7330"/>
    <w:pPr>
      <w:keepNext/>
      <w:keepLines/>
      <w:spacing w:before="80" w:after="40"/>
      <w:outlineLvl w:val="3"/>
    </w:pPr>
    <w:rPr>
      <w:rFonts w:eastAsiaTheme="majorEastAsia" w:cstheme="majorBidi"/>
      <w:i/>
      <w:iCs/>
      <w:color w:val="2F5496" w:themeColor="accent1" w:themeShade="BF"/>
      <w:kern w:val="0"/>
      <w14:ligatures w14:val="none"/>
    </w:rPr>
  </w:style>
  <w:style w:type="paragraph" w:styleId="Heading5">
    <w:name w:val="heading 5"/>
    <w:basedOn w:val="Normal"/>
    <w:next w:val="Normal"/>
    <w:link w:val="Heading5Char"/>
    <w:uiPriority w:val="9"/>
    <w:semiHidden/>
    <w:unhideWhenUsed/>
    <w:qFormat/>
    <w:rsid w:val="00CB7330"/>
    <w:pPr>
      <w:keepNext/>
      <w:keepLines/>
      <w:spacing w:before="80" w:after="40"/>
      <w:outlineLvl w:val="4"/>
    </w:pPr>
    <w:rPr>
      <w:rFonts w:eastAsiaTheme="majorEastAsia" w:cstheme="majorBidi"/>
      <w:color w:val="2F5496" w:themeColor="accent1" w:themeShade="BF"/>
      <w:kern w:val="0"/>
      <w14:ligatures w14:val="none"/>
    </w:rPr>
  </w:style>
  <w:style w:type="paragraph" w:styleId="Heading6">
    <w:name w:val="heading 6"/>
    <w:basedOn w:val="Normal"/>
    <w:next w:val="Normal"/>
    <w:link w:val="Heading6Char"/>
    <w:uiPriority w:val="9"/>
    <w:semiHidden/>
    <w:unhideWhenUsed/>
    <w:qFormat/>
    <w:rsid w:val="00CB7330"/>
    <w:pPr>
      <w:keepNext/>
      <w:keepLines/>
      <w:spacing w:before="40" w:after="0"/>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CB7330"/>
    <w:pPr>
      <w:keepNext/>
      <w:keepLines/>
      <w:spacing w:before="40" w:after="0"/>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CB7330"/>
    <w:pPr>
      <w:keepNext/>
      <w:keepLines/>
      <w:spacing w:after="0"/>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CB7330"/>
    <w:pPr>
      <w:keepNext/>
      <w:keepLines/>
      <w:spacing w:after="0"/>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3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73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73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73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73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7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330"/>
    <w:rPr>
      <w:rFonts w:eastAsiaTheme="majorEastAsia" w:cstheme="majorBidi"/>
      <w:color w:val="272727" w:themeColor="text1" w:themeTint="D8"/>
    </w:rPr>
  </w:style>
  <w:style w:type="paragraph" w:styleId="Title">
    <w:name w:val="Title"/>
    <w:basedOn w:val="Normal"/>
    <w:next w:val="Normal"/>
    <w:link w:val="TitleChar"/>
    <w:uiPriority w:val="10"/>
    <w:qFormat/>
    <w:rsid w:val="00CB7330"/>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CB7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330"/>
    <w:pPr>
      <w:numPr>
        <w:ilvl w:val="1"/>
      </w:numPr>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CB73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330"/>
    <w:pPr>
      <w:spacing w:before="160"/>
      <w:jc w:val="center"/>
    </w:pPr>
    <w:rPr>
      <w:i/>
      <w:iCs/>
      <w:color w:val="404040" w:themeColor="text1" w:themeTint="BF"/>
      <w:kern w:val="0"/>
      <w14:ligatures w14:val="none"/>
    </w:rPr>
  </w:style>
  <w:style w:type="character" w:customStyle="1" w:styleId="QuoteChar">
    <w:name w:val="Quote Char"/>
    <w:basedOn w:val="DefaultParagraphFont"/>
    <w:link w:val="Quote"/>
    <w:uiPriority w:val="29"/>
    <w:rsid w:val="00CB7330"/>
    <w:rPr>
      <w:i/>
      <w:iCs/>
      <w:color w:val="404040" w:themeColor="text1" w:themeTint="BF"/>
    </w:rPr>
  </w:style>
  <w:style w:type="paragraph" w:styleId="ListParagraph">
    <w:name w:val="List Paragraph"/>
    <w:basedOn w:val="Normal"/>
    <w:uiPriority w:val="34"/>
    <w:qFormat/>
    <w:rsid w:val="00CB7330"/>
    <w:pPr>
      <w:ind w:left="720"/>
      <w:contextualSpacing/>
    </w:pPr>
    <w:rPr>
      <w:kern w:val="0"/>
      <w14:ligatures w14:val="none"/>
    </w:rPr>
  </w:style>
  <w:style w:type="character" w:styleId="IntenseEmphasis">
    <w:name w:val="Intense Emphasis"/>
    <w:basedOn w:val="DefaultParagraphFont"/>
    <w:uiPriority w:val="21"/>
    <w:qFormat/>
    <w:rsid w:val="00CB7330"/>
    <w:rPr>
      <w:i/>
      <w:iCs/>
      <w:color w:val="2F5496" w:themeColor="accent1" w:themeShade="BF"/>
    </w:rPr>
  </w:style>
  <w:style w:type="paragraph" w:styleId="IntenseQuote">
    <w:name w:val="Intense Quote"/>
    <w:basedOn w:val="Normal"/>
    <w:next w:val="Normal"/>
    <w:link w:val="IntenseQuoteChar"/>
    <w:uiPriority w:val="30"/>
    <w:qFormat/>
    <w:rsid w:val="00CB7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0"/>
      <w14:ligatures w14:val="none"/>
    </w:rPr>
  </w:style>
  <w:style w:type="character" w:customStyle="1" w:styleId="IntenseQuoteChar">
    <w:name w:val="Intense Quote Char"/>
    <w:basedOn w:val="DefaultParagraphFont"/>
    <w:link w:val="IntenseQuote"/>
    <w:uiPriority w:val="30"/>
    <w:rsid w:val="00CB7330"/>
    <w:rPr>
      <w:i/>
      <w:iCs/>
      <w:color w:val="2F5496" w:themeColor="accent1" w:themeShade="BF"/>
    </w:rPr>
  </w:style>
  <w:style w:type="character" w:styleId="IntenseReference">
    <w:name w:val="Intense Reference"/>
    <w:basedOn w:val="DefaultParagraphFont"/>
    <w:uiPriority w:val="32"/>
    <w:qFormat/>
    <w:rsid w:val="00CB7330"/>
    <w:rPr>
      <w:b/>
      <w:bCs/>
      <w:smallCaps/>
      <w:color w:val="2F5496" w:themeColor="accent1" w:themeShade="BF"/>
      <w:spacing w:val="5"/>
    </w:rPr>
  </w:style>
  <w:style w:type="character" w:styleId="Hyperlink">
    <w:name w:val="Hyperlink"/>
    <w:basedOn w:val="DefaultParagraphFont"/>
    <w:uiPriority w:val="99"/>
    <w:unhideWhenUsed/>
    <w:rsid w:val="00CB73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vate.rrpv.org/teamin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558D54B95A046B739A3D65A2F66A3" ma:contentTypeVersion="28" ma:contentTypeDescription="Create a new document." ma:contentTypeScope="" ma:versionID="c21b76a5ebf88707ca4a799e664c4816">
  <xsd:schema xmlns:xsd="http://www.w3.org/2001/XMLSchema" xmlns:xs="http://www.w3.org/2001/XMLSchema" xmlns:p="http://schemas.microsoft.com/office/2006/metadata/properties" xmlns:ns2="af82ecbd-a39c-43aa-8b3d-43b91785888a" xmlns:ns3="0674b3ea-43c2-40d5-b624-aadd2acffb38" targetNamespace="http://schemas.microsoft.com/office/2006/metadata/properties" ma:root="true" ma:fieldsID="59738b3c9d55ca89ef1741a690e0260b" ns2:_="" ns3:_="">
    <xsd:import namespace="af82ecbd-a39c-43aa-8b3d-43b91785888a"/>
    <xsd:import namespace="0674b3ea-43c2-40d5-b624-aadd2acffb3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4b3ea-43c2-40d5-b624-aadd2acffb3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74b3ea-43c2-40d5-b624-aadd2acffb38">
      <Terms xmlns="http://schemas.microsoft.com/office/infopath/2007/PartnerControls"/>
    </lcf76f155ced4ddcb4097134ff3c332f>
    <_dlc_DocId xmlns="af82ecbd-a39c-43aa-8b3d-43b91785888a">MW5ECUTY3FKA-1527589740-25869</_dlc_DocId>
    <_dlc_DocIdUrl xmlns="af82ecbd-a39c-43aa-8b3d-43b91785888a">
      <Url>https://aticloud.sharepoint.us/sites/MTCD/_layouts/15/DocIdRedir.aspx?ID=MW5ECUTY3FKA-1527589740-25869</Url>
      <Description>MW5ECUTY3FKA-1527589740-25869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FB5581-FF9D-465F-999D-A675B9D47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0674b3ea-43c2-40d5-b624-aadd2acff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8AB9C-B380-4972-A78E-673BA4722D09}">
  <ds:schemaRefs>
    <ds:schemaRef ds:uri="http://www.w3.org/XML/1998/namespace"/>
    <ds:schemaRef ds:uri="af82ecbd-a39c-43aa-8b3d-43b91785888a"/>
    <ds:schemaRef ds:uri="http://purl.org/dc/elements/1.1/"/>
    <ds:schemaRef ds:uri="http://purl.org/dc/dcmityp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0674b3ea-43c2-40d5-b624-aadd2acffb38"/>
    <ds:schemaRef ds:uri="http://schemas.microsoft.com/office/2006/metadata/properties"/>
  </ds:schemaRefs>
</ds:datastoreItem>
</file>

<file path=customXml/itemProps3.xml><?xml version="1.0" encoding="utf-8"?>
<ds:datastoreItem xmlns:ds="http://schemas.openxmlformats.org/officeDocument/2006/customXml" ds:itemID="{3C27CA7E-083E-4C60-B01F-E0550DE5C84A}">
  <ds:schemaRefs>
    <ds:schemaRef ds:uri="http://schemas.microsoft.com/sharepoint/v3/contenttype/forms"/>
  </ds:schemaRefs>
</ds:datastoreItem>
</file>

<file path=customXml/itemProps4.xml><?xml version="1.0" encoding="utf-8"?>
<ds:datastoreItem xmlns:ds="http://schemas.openxmlformats.org/officeDocument/2006/customXml" ds:itemID="{50954EBB-0546-477E-9CFB-62608A4AA1F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2383</Words>
  <Characters>13588</Characters>
  <Application>Microsoft Office Word</Application>
  <DocSecurity>0</DocSecurity>
  <Lines>113</Lines>
  <Paragraphs>31</Paragraphs>
  <ScaleCrop>false</ScaleCrop>
  <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Nathan (ASPR/BARDA) (CTR)</dc:creator>
  <cp:keywords/>
  <dc:description/>
  <cp:lastModifiedBy>Hanna, Caroline</cp:lastModifiedBy>
  <cp:revision>2</cp:revision>
  <dcterms:created xsi:type="dcterms:W3CDTF">2026-05-06T14:26:00Z</dcterms:created>
  <dcterms:modified xsi:type="dcterms:W3CDTF">2026-05-06T14:26:00Z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0x0101009AE558D54B95A046B739A3D65A2F66A3</vt:lpwstr>
  </property>
  <property fmtid="{D5CDD505-2E9C-101B-9397-08002B2CF9AE}" pid="3" name="_dlc_DocIdItemGuid">
    <vt:lpwstr>8ed572da-6cd2-4e59-a102-4c6df66e3221</vt:lpwstr>
  </property>
  <property fmtid="{D5CDD505-2E9C-101B-9397-08002B2CF9AE}" pid="4" name="MediaServiceImageTags">
    <vt:lpwstr/>
  </property>
  <property fmtid="{D5CDD505-2E9C-101B-9397-08002B2CF9AE}" pid="5" name="TaxCatchAll">
    <vt:lpwstr/>
  </property>
</Properties>
</file>